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6319" w14:textId="3D29EB14" w:rsidR="00511991" w:rsidRPr="00F627F1" w:rsidRDefault="00511991" w:rsidP="00511991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227A7792" w14:textId="77777777" w:rsidR="00511991" w:rsidRPr="00F627F1" w:rsidRDefault="00511991" w:rsidP="00511991">
      <w:pPr>
        <w:jc w:val="center"/>
        <w:rPr>
          <w:rFonts w:cstheme="minorHAnsi"/>
          <w:b/>
          <w:bCs/>
          <w:sz w:val="28"/>
          <w:szCs w:val="28"/>
        </w:rPr>
      </w:pPr>
    </w:p>
    <w:p w14:paraId="4F49EC70" w14:textId="77777777" w:rsidR="00511991" w:rsidRPr="00F627F1" w:rsidRDefault="00511991" w:rsidP="00B3163B">
      <w:pPr>
        <w:ind w:left="-284"/>
        <w:jc w:val="center"/>
        <w:rPr>
          <w:rFonts w:cstheme="minorHAnsi"/>
          <w:b/>
          <w:bCs/>
          <w:sz w:val="28"/>
          <w:szCs w:val="28"/>
        </w:rPr>
      </w:pPr>
    </w:p>
    <w:p w14:paraId="70D2461F" w14:textId="77777777" w:rsidR="00345D80" w:rsidRPr="00147D52" w:rsidRDefault="00511991" w:rsidP="00511991">
      <w:pPr>
        <w:jc w:val="center"/>
        <w:rPr>
          <w:rFonts w:cstheme="minorHAnsi"/>
          <w:b/>
          <w:bCs/>
          <w:color w:val="4472C4" w:themeColor="accent1"/>
          <w:sz w:val="48"/>
          <w:szCs w:val="48"/>
        </w:rPr>
      </w:pPr>
      <w:r w:rsidRPr="00147D52">
        <w:rPr>
          <w:rFonts w:cstheme="minorHAnsi"/>
          <w:b/>
          <w:bCs/>
          <w:color w:val="4472C4" w:themeColor="accent1"/>
          <w:sz w:val="48"/>
          <w:szCs w:val="48"/>
        </w:rPr>
        <w:t xml:space="preserve">ПРОЕКТ </w:t>
      </w:r>
    </w:p>
    <w:p w14:paraId="62005AB4" w14:textId="2BAB9726" w:rsidR="00511991" w:rsidRPr="00147D52" w:rsidRDefault="00511991" w:rsidP="00511991">
      <w:pPr>
        <w:jc w:val="center"/>
        <w:rPr>
          <w:rFonts w:cstheme="minorHAnsi"/>
          <w:b/>
          <w:bCs/>
          <w:i/>
          <w:iCs/>
          <w:caps/>
          <w:color w:val="4472C4" w:themeColor="accent1"/>
          <w:sz w:val="36"/>
          <w:szCs w:val="36"/>
        </w:rPr>
      </w:pPr>
      <w:r w:rsidRPr="00147D52">
        <w:rPr>
          <w:rFonts w:cstheme="minorHAnsi"/>
          <w:b/>
          <w:bCs/>
          <w:i/>
          <w:iCs/>
          <w:caps/>
          <w:color w:val="4472C4" w:themeColor="accent1"/>
          <w:sz w:val="36"/>
          <w:szCs w:val="36"/>
        </w:rPr>
        <w:t>Усъвършенстване на механизма за гражданско участие при формулирането и провеждането на политиката в областта на висшето образование в България</w:t>
      </w:r>
    </w:p>
    <w:p w14:paraId="3FFEE58D" w14:textId="77777777" w:rsidR="00345D80" w:rsidRPr="00F627F1" w:rsidRDefault="00345D80" w:rsidP="00511991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4AFB2ED2" w14:textId="109EC826" w:rsidR="00DE4CD3" w:rsidRPr="00147D52" w:rsidRDefault="00B655E7" w:rsidP="00B655E7">
      <w:pPr>
        <w:jc w:val="center"/>
        <w:rPr>
          <w:rFonts w:cstheme="minorHAnsi"/>
          <w:b/>
          <w:bCs/>
          <w:color w:val="2F5496" w:themeColor="accent1" w:themeShade="BF"/>
          <w:sz w:val="48"/>
          <w:szCs w:val="48"/>
        </w:rPr>
      </w:pPr>
      <w:r w:rsidRPr="00147D52">
        <w:rPr>
          <w:rFonts w:cstheme="minorHAnsi"/>
          <w:b/>
          <w:bCs/>
          <w:color w:val="2F5496" w:themeColor="accent1" w:themeShade="BF"/>
          <w:sz w:val="48"/>
          <w:szCs w:val="48"/>
        </w:rPr>
        <w:t>КОНСТАТАЦИИ И ПРЕПОРЪКИ</w:t>
      </w:r>
    </w:p>
    <w:p w14:paraId="307EEBEC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3B618BD7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023D31BF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1A13AD46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61B8AA5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150A2A0A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696646B5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6A1D6464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3742D521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37F8CFC9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6FB03E1E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16535779" w14:textId="77777777" w:rsidR="00DE4CD3" w:rsidRPr="00F627F1" w:rsidRDefault="00DE4CD3" w:rsidP="00511991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val="bg-BG"/>
        </w:rPr>
        <w:id w:val="14444250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902335" w14:textId="092B7895" w:rsidR="00B655E7" w:rsidRPr="00B655E7" w:rsidRDefault="00B655E7">
          <w:pPr>
            <w:pStyle w:val="TOCHeading"/>
            <w:rPr>
              <w:caps/>
              <w:lang w:val="bg-BG"/>
            </w:rPr>
          </w:pPr>
          <w:r w:rsidRPr="00B655E7">
            <w:rPr>
              <w:caps/>
              <w:lang w:val="bg-BG"/>
            </w:rPr>
            <w:t>съдържание</w:t>
          </w:r>
        </w:p>
        <w:p w14:paraId="222FF64F" w14:textId="21D53898" w:rsidR="007D4429" w:rsidRDefault="00B655E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806446" w:history="1">
            <w:r w:rsidR="007D4429" w:rsidRPr="003B14D4">
              <w:rPr>
                <w:rStyle w:val="Hyperlink"/>
                <w:noProof/>
              </w:rPr>
              <w:t>КОНСТАТАЦИИ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_Toc26806446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3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2509028D" w14:textId="77163CEF" w:rsidR="007D4429" w:rsidRDefault="00AA3130">
          <w:pPr>
            <w:pStyle w:val="TOC2"/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47" w:history="1">
            <w:r w:rsidR="007D4429" w:rsidRPr="003B14D4">
              <w:rPr>
                <w:rStyle w:val="Hyperlink"/>
                <w:noProof/>
              </w:rPr>
              <w:t>I. За системата на висшето образование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_Toc26806447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3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65B3AA7F" w14:textId="672CA2E9" w:rsidR="007D4429" w:rsidRDefault="00AA313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48" w:history="1">
            <w:r w:rsidR="007D4429" w:rsidRPr="003B14D4">
              <w:rPr>
                <w:rStyle w:val="Hyperlink"/>
                <w:noProof/>
              </w:rPr>
              <w:t>1. Европейският опит: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_Toc26806448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3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38A0AAB8" w14:textId="678CDD54" w:rsidR="007D4429" w:rsidRDefault="00AA313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49" w:history="1">
            <w:r w:rsidR="007D4429" w:rsidRPr="003B14D4">
              <w:rPr>
                <w:rStyle w:val="Hyperlink"/>
                <w:noProof/>
              </w:rPr>
              <w:t>2. Качество на висшето образование у нас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_Toc26806449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4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06C233DB" w14:textId="6AE87C26" w:rsidR="007D4429" w:rsidRDefault="00AA313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0" w:history="1">
            <w:r w:rsidR="007D4429" w:rsidRPr="003B14D4">
              <w:rPr>
                <w:rStyle w:val="Hyperlink"/>
                <w:noProof/>
              </w:rPr>
              <w:t>3. Връзка образование -  бизнес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_Toc26806450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5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634C1852" w14:textId="4DACD7D1" w:rsidR="007D4429" w:rsidRDefault="00AA3130">
          <w:pPr>
            <w:pStyle w:val="TOC2"/>
            <w:tabs>
              <w:tab w:val="left" w:pos="1100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1" w:history="1">
            <w:r w:rsidR="007D4429" w:rsidRPr="003B14D4">
              <w:rPr>
                <w:rStyle w:val="Hyperlink"/>
                <w:noProof/>
              </w:rPr>
              <w:t xml:space="preserve">II.  </w:t>
            </w:r>
            <w:r w:rsidR="007D4429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7D4429" w:rsidRPr="003B14D4">
              <w:rPr>
                <w:rStyle w:val="Hyperlink"/>
                <w:noProof/>
              </w:rPr>
              <w:t>Предприети действия и мерки на политико-правещи органи у нас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_Toc26806451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5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794DF1BB" w14:textId="0B188715" w:rsidR="007D4429" w:rsidRDefault="00AA3130">
          <w:pPr>
            <w:pStyle w:val="TOC2"/>
            <w:tabs>
              <w:tab w:val="left" w:pos="880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2" w:history="1">
            <w:r w:rsidR="007D4429" w:rsidRPr="003B14D4">
              <w:rPr>
                <w:rStyle w:val="Hyperlink"/>
                <w:rFonts w:ascii="Calibri" w:hAnsi="Calibri" w:cs="Calibri"/>
                <w:iCs/>
                <w:noProof/>
              </w:rPr>
              <w:t>1.</w:t>
            </w:r>
            <w:r w:rsidR="007D4429">
              <w:rPr>
                <w:rFonts w:eastAsiaTheme="minorEastAsia"/>
                <w:noProof/>
                <w:sz w:val="22"/>
                <w:lang w:val="en-GB" w:eastAsia="en-GB"/>
              </w:rPr>
              <w:tab/>
            </w:r>
            <w:r w:rsidR="007D4429" w:rsidRPr="003B14D4">
              <w:rPr>
                <w:rStyle w:val="Hyperlink"/>
                <w:noProof/>
              </w:rPr>
              <w:t>Промени в Закона за висшето образование насочени към създаване и/или подобряване на връзките бизнес-университети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_Toc26806452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5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3E3F7B02" w14:textId="5643227A" w:rsidR="007D4429" w:rsidRDefault="00AA3130">
          <w:pPr>
            <w:pStyle w:val="TOC2"/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3" w:history="1">
            <w:r w:rsidR="007D4429" w:rsidRPr="003B14D4">
              <w:rPr>
                <w:rStyle w:val="Hyperlink"/>
                <w:noProof/>
              </w:rPr>
              <w:t>2. Други промени в нормативната база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_Toc26806453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6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245EE11B" w14:textId="40461FA6" w:rsidR="007D4429" w:rsidRDefault="00AA3130">
          <w:pPr>
            <w:pStyle w:val="TOC2"/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4" w:history="1">
            <w:r w:rsidR="007D4429" w:rsidRPr="003B14D4">
              <w:rPr>
                <w:rStyle w:val="Hyperlink"/>
                <w:noProof/>
              </w:rPr>
              <w:t>3. Действия за подобряване на качество и приложимост на професионалното образование и обучение (ПОО):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_Toc26806454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6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66EE996E" w14:textId="6E3D4725" w:rsidR="007D4429" w:rsidRDefault="00AA31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5" w:history="1">
            <w:r w:rsidR="007D4429" w:rsidRPr="003B14D4">
              <w:rPr>
                <w:rStyle w:val="Hyperlink"/>
                <w:noProof/>
              </w:rPr>
              <w:t>ПРЕПОРЪКИ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_Toc26806455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6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6A80FBE2" w14:textId="752B93C6" w:rsidR="007D4429" w:rsidRDefault="00AA3130">
          <w:pPr>
            <w:pStyle w:val="TOC2"/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6" w:history="1">
            <w:r w:rsidR="007D4429" w:rsidRPr="003B14D4">
              <w:rPr>
                <w:rStyle w:val="Hyperlink"/>
                <w:noProof/>
              </w:rPr>
              <w:t>1. Към ВУ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_Toc26806456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6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714BEEA8" w14:textId="243FCEE6" w:rsidR="007D4429" w:rsidRDefault="00AA3130">
          <w:pPr>
            <w:pStyle w:val="TOC2"/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7" w:history="1">
            <w:r w:rsidR="007D4429" w:rsidRPr="003B14D4">
              <w:rPr>
                <w:rStyle w:val="Hyperlink"/>
                <w:noProof/>
              </w:rPr>
              <w:t>2. Към бизнеса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_Toc26806457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7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090F8FE8" w14:textId="435ECC6D" w:rsidR="007D4429" w:rsidRDefault="00AA3130">
          <w:pPr>
            <w:pStyle w:val="TOC2"/>
            <w:rPr>
              <w:rFonts w:eastAsiaTheme="minorEastAsia"/>
              <w:noProof/>
              <w:sz w:val="22"/>
              <w:lang w:val="en-GB" w:eastAsia="en-GB"/>
            </w:rPr>
          </w:pPr>
          <w:hyperlink w:anchor="_Toc26806458" w:history="1">
            <w:r w:rsidR="007D4429" w:rsidRPr="003B14D4">
              <w:rPr>
                <w:rStyle w:val="Hyperlink"/>
                <w:noProof/>
              </w:rPr>
              <w:t>3. Общи: бизнес-ВУ- политико-правещите органи</w:t>
            </w:r>
            <w:r w:rsidR="007D4429">
              <w:rPr>
                <w:noProof/>
                <w:webHidden/>
              </w:rPr>
              <w:tab/>
            </w:r>
            <w:r w:rsidR="007D4429">
              <w:rPr>
                <w:noProof/>
                <w:webHidden/>
              </w:rPr>
              <w:fldChar w:fldCharType="begin"/>
            </w:r>
            <w:r w:rsidR="007D4429">
              <w:rPr>
                <w:noProof/>
                <w:webHidden/>
              </w:rPr>
              <w:instrText xml:space="preserve"> PAGEREF _Toc26806458 \h </w:instrText>
            </w:r>
            <w:r w:rsidR="007D4429">
              <w:rPr>
                <w:noProof/>
                <w:webHidden/>
              </w:rPr>
            </w:r>
            <w:r w:rsidR="007D4429">
              <w:rPr>
                <w:noProof/>
                <w:webHidden/>
              </w:rPr>
              <w:fldChar w:fldCharType="separate"/>
            </w:r>
            <w:r w:rsidR="003005D7">
              <w:rPr>
                <w:noProof/>
                <w:webHidden/>
              </w:rPr>
              <w:t>7</w:t>
            </w:r>
            <w:r w:rsidR="007D4429">
              <w:rPr>
                <w:noProof/>
                <w:webHidden/>
              </w:rPr>
              <w:fldChar w:fldCharType="end"/>
            </w:r>
          </w:hyperlink>
        </w:p>
        <w:p w14:paraId="5CA3714F" w14:textId="351067E9" w:rsidR="00B655E7" w:rsidRDefault="00B655E7">
          <w:r>
            <w:rPr>
              <w:b/>
              <w:bCs/>
              <w:noProof/>
            </w:rPr>
            <w:fldChar w:fldCharType="end"/>
          </w:r>
        </w:p>
      </w:sdtContent>
    </w:sdt>
    <w:p w14:paraId="2EACEB94" w14:textId="77777777" w:rsidR="000A2065" w:rsidRPr="00F627F1" w:rsidRDefault="000A2065" w:rsidP="00DE4CD3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3D079595" w14:textId="10EB51C7" w:rsidR="00DE4CD3" w:rsidRPr="00F627F1" w:rsidRDefault="00DE4CD3" w:rsidP="00DE4CD3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  <w:r w:rsidRPr="00F627F1">
        <w:rPr>
          <w:rFonts w:cstheme="minorHAnsi"/>
          <w:b/>
          <w:bCs/>
          <w:color w:val="4472C4" w:themeColor="accent1"/>
          <w:sz w:val="32"/>
          <w:szCs w:val="32"/>
        </w:rPr>
        <w:t>КОНСТАТАЦИИ И ПРЕПОРЪКИ  ЗА ВРЪЗКИТЕ БИЗНЕС-ВИСШЕ ОБРАЗОВАНИЕ</w:t>
      </w:r>
      <w:r w:rsidR="00654490" w:rsidRPr="00F627F1">
        <w:rPr>
          <w:rFonts w:cstheme="minorHAnsi"/>
          <w:b/>
          <w:bCs/>
          <w:color w:val="4472C4" w:themeColor="accent1"/>
          <w:sz w:val="32"/>
          <w:szCs w:val="32"/>
        </w:rPr>
        <w:t xml:space="preserve"> -</w:t>
      </w:r>
      <w:r w:rsidRPr="00F627F1">
        <w:rPr>
          <w:rFonts w:cstheme="minorHAnsi"/>
          <w:b/>
          <w:bCs/>
          <w:color w:val="4472C4" w:themeColor="accent1"/>
          <w:sz w:val="32"/>
          <w:szCs w:val="32"/>
        </w:rPr>
        <w:t xml:space="preserve"> ПОЛИТИКОПРАВЕЩИ ОРГАНИ</w:t>
      </w:r>
    </w:p>
    <w:p w14:paraId="57598AF0" w14:textId="31CA078B" w:rsidR="00CB04C0" w:rsidRPr="00CB04C0" w:rsidRDefault="00DE4CD3" w:rsidP="00654490">
      <w:pPr>
        <w:jc w:val="both"/>
        <w:rPr>
          <w:rFonts w:cstheme="minorHAnsi"/>
          <w:szCs w:val="24"/>
        </w:rPr>
      </w:pPr>
      <w:r w:rsidRPr="00CB1CFB">
        <w:rPr>
          <w:rFonts w:cstheme="minorHAnsi"/>
          <w:szCs w:val="24"/>
        </w:rPr>
        <w:t>Представените</w:t>
      </w:r>
      <w:r w:rsidR="00345D80" w:rsidRPr="00CB1CFB">
        <w:rPr>
          <w:rFonts w:cstheme="minorHAnsi"/>
          <w:szCs w:val="24"/>
        </w:rPr>
        <w:t xml:space="preserve"> по-долу</w:t>
      </w:r>
      <w:r w:rsidRPr="00CB1CFB">
        <w:rPr>
          <w:rFonts w:cstheme="minorHAnsi"/>
          <w:szCs w:val="24"/>
        </w:rPr>
        <w:t xml:space="preserve"> констатации и препоръки обединяват резултатите от дейности 1 (проучвания на експертите на ЦИА) и 2 (</w:t>
      </w:r>
      <w:r w:rsidR="00CB1CFB">
        <w:rPr>
          <w:rFonts w:cstheme="minorHAnsi"/>
          <w:szCs w:val="24"/>
        </w:rPr>
        <w:t xml:space="preserve">критично обсъждане на материалите, представени от експертите, </w:t>
      </w:r>
      <w:r w:rsidRPr="00CB1CFB">
        <w:rPr>
          <w:rFonts w:cstheme="minorHAnsi"/>
          <w:szCs w:val="24"/>
        </w:rPr>
        <w:t xml:space="preserve">и препоръки направени от представители на целевите групи по време на дискусиите на двете кръгли </w:t>
      </w:r>
      <w:r w:rsidR="00CB1CFB">
        <w:rPr>
          <w:rFonts w:cstheme="minorHAnsi"/>
          <w:szCs w:val="24"/>
        </w:rPr>
        <w:t>маси</w:t>
      </w:r>
      <w:bookmarkStart w:id="1" w:name="_Toc18360846"/>
      <w:bookmarkStart w:id="2" w:name="_Toc21471695"/>
      <w:r w:rsidR="00C5733A">
        <w:rPr>
          <w:rFonts w:cstheme="minorHAnsi"/>
          <w:szCs w:val="24"/>
        </w:rPr>
        <w:t>)</w:t>
      </w:r>
      <w:r w:rsidR="00CB1CFB">
        <w:rPr>
          <w:rFonts w:cstheme="minorHAnsi"/>
          <w:b/>
          <w:bCs/>
          <w:sz w:val="28"/>
          <w:szCs w:val="28"/>
        </w:rPr>
        <w:t>.</w:t>
      </w:r>
      <w:r w:rsidR="00CB1CFB" w:rsidRPr="00CB1CFB">
        <w:rPr>
          <w:rFonts w:cstheme="minorHAnsi"/>
          <w:sz w:val="28"/>
          <w:szCs w:val="28"/>
        </w:rPr>
        <w:t xml:space="preserve"> </w:t>
      </w:r>
      <w:r w:rsidR="00CB1CFB" w:rsidRPr="00CB1CFB">
        <w:rPr>
          <w:rFonts w:cstheme="minorHAnsi"/>
          <w:szCs w:val="24"/>
        </w:rPr>
        <w:t>Всички</w:t>
      </w:r>
      <w:r w:rsidR="00CB1CFB">
        <w:rPr>
          <w:rFonts w:cstheme="minorHAnsi"/>
          <w:szCs w:val="24"/>
        </w:rPr>
        <w:t xml:space="preserve"> материали бяха своевременно публикувани в страницата на проекта в сайта на ЦИА. В електронен вид материалите бяха изпратени до голяма част от поканените, включително и до изявилите желание и възпрепятствани да присъстват. Печатни копия са раздадени на всички  присъствали на дискусията. </w:t>
      </w:r>
    </w:p>
    <w:p w14:paraId="6251748C" w14:textId="77777777" w:rsidR="00CB04C0" w:rsidRDefault="00CB04C0" w:rsidP="00DE4CD3">
      <w:pPr>
        <w:rPr>
          <w:b/>
          <w:bCs/>
          <w:color w:val="4472C4" w:themeColor="accent1"/>
          <w:sz w:val="28"/>
          <w:szCs w:val="28"/>
        </w:rPr>
      </w:pPr>
    </w:p>
    <w:p w14:paraId="685E2BF3" w14:textId="5848221C" w:rsidR="009C74FE" w:rsidRPr="00F627F1" w:rsidRDefault="009C74FE" w:rsidP="00CB04C0">
      <w:pPr>
        <w:pStyle w:val="Heading1"/>
      </w:pPr>
      <w:bookmarkStart w:id="3" w:name="_Toc26806446"/>
      <w:r w:rsidRPr="00F627F1">
        <w:lastRenderedPageBreak/>
        <w:t>КОНСТАТАЦИИ</w:t>
      </w:r>
      <w:bookmarkEnd w:id="3"/>
      <w:r w:rsidR="00FB5B4D" w:rsidRPr="00F627F1">
        <w:t xml:space="preserve"> </w:t>
      </w:r>
    </w:p>
    <w:p w14:paraId="7FC8F82C" w14:textId="386A67BE" w:rsidR="001A19CE" w:rsidRPr="00F627F1" w:rsidRDefault="00033CA2" w:rsidP="00CB04C0">
      <w:pPr>
        <w:pStyle w:val="Heading2"/>
        <w:rPr>
          <w:rStyle w:val="SubtleEmphasis"/>
        </w:rPr>
      </w:pPr>
      <w:bookmarkStart w:id="4" w:name="_Toc26806447"/>
      <w:r w:rsidRPr="00F627F1">
        <w:t>I</w:t>
      </w:r>
      <w:r w:rsidRPr="00CB04C0">
        <w:t xml:space="preserve">. </w:t>
      </w:r>
      <w:r w:rsidR="00220C98" w:rsidRPr="00CB04C0">
        <w:t xml:space="preserve">За </w:t>
      </w:r>
      <w:r w:rsidR="001A19CE" w:rsidRPr="00CB04C0">
        <w:t>системата на висшето образование</w:t>
      </w:r>
      <w:bookmarkEnd w:id="1"/>
      <w:bookmarkEnd w:id="2"/>
      <w:bookmarkEnd w:id="4"/>
    </w:p>
    <w:p w14:paraId="51079E3C" w14:textId="7ED66B34" w:rsidR="00FB5B4D" w:rsidRPr="00CB04C0" w:rsidRDefault="0036638D" w:rsidP="00CB04C0">
      <w:pPr>
        <w:pStyle w:val="Heading3"/>
        <w:rPr>
          <w:rStyle w:val="IntenseEmphasis"/>
          <w:i w:val="0"/>
          <w:iCs w:val="0"/>
        </w:rPr>
      </w:pPr>
      <w:bookmarkStart w:id="5" w:name="_Toc26806448"/>
      <w:r w:rsidRPr="00CB04C0">
        <w:t>1</w:t>
      </w:r>
      <w:r w:rsidRPr="00CB04C0">
        <w:rPr>
          <w:rStyle w:val="IntenseEmphasis"/>
          <w:i w:val="0"/>
          <w:iCs w:val="0"/>
        </w:rPr>
        <w:t xml:space="preserve">. </w:t>
      </w:r>
      <w:r w:rsidR="00693EF3" w:rsidRPr="00CB04C0">
        <w:rPr>
          <w:rStyle w:val="IntenseEmphasis"/>
          <w:i w:val="0"/>
          <w:iCs w:val="0"/>
        </w:rPr>
        <w:t>Е</w:t>
      </w:r>
      <w:r w:rsidRPr="00CB04C0">
        <w:rPr>
          <w:rStyle w:val="IntenseEmphasis"/>
          <w:i w:val="0"/>
          <w:iCs w:val="0"/>
        </w:rPr>
        <w:t>вропейският опит</w:t>
      </w:r>
      <w:r w:rsidR="00693EF3" w:rsidRPr="00CB04C0">
        <w:rPr>
          <w:rStyle w:val="IntenseEmphasis"/>
          <w:i w:val="0"/>
          <w:iCs w:val="0"/>
        </w:rPr>
        <w:t>:</w:t>
      </w:r>
      <w:bookmarkEnd w:id="5"/>
    </w:p>
    <w:p w14:paraId="02DB9E7C" w14:textId="115272E0" w:rsidR="00F627F1" w:rsidRPr="00CB04C0" w:rsidRDefault="00F627F1" w:rsidP="00CB04C0">
      <w:pPr>
        <w:pStyle w:val="Heading4"/>
        <w:rPr>
          <w:rStyle w:val="SubtleEmphasis"/>
          <w:i/>
          <w:iCs/>
          <w:color w:val="4472C4" w:themeColor="accent1"/>
        </w:rPr>
      </w:pPr>
      <w:r>
        <w:rPr>
          <w:rStyle w:val="IntenseEmphasis"/>
          <w:sz w:val="26"/>
          <w:szCs w:val="26"/>
        </w:rPr>
        <w:tab/>
      </w:r>
      <w:r w:rsidRPr="00CB04C0">
        <w:rPr>
          <w:rStyle w:val="IntenseEmphasis"/>
          <w:i/>
          <w:iCs/>
        </w:rPr>
        <w:t xml:space="preserve">1.1. </w:t>
      </w:r>
      <w:r w:rsidRPr="00CB04C0">
        <w:rPr>
          <w:rStyle w:val="SubtleEmphasis"/>
          <w:i/>
          <w:iCs/>
          <w:color w:val="4472C4" w:themeColor="accent1"/>
        </w:rPr>
        <w:t>Висше образование</w:t>
      </w:r>
    </w:p>
    <w:p w14:paraId="6EBEE897" w14:textId="0A2A36F5" w:rsidR="00033CA2" w:rsidRPr="00F627F1" w:rsidRDefault="00033CA2" w:rsidP="00766636">
      <w:pPr>
        <w:pStyle w:val="ListParagraph"/>
        <w:numPr>
          <w:ilvl w:val="0"/>
          <w:numId w:val="11"/>
        </w:numPr>
        <w:jc w:val="both"/>
      </w:pPr>
      <w:r w:rsidRPr="00F627F1">
        <w:t xml:space="preserve">Европейският съюз и отделните страни- членки с развити икономики разглеждат </w:t>
      </w:r>
      <w:r w:rsidRPr="00F627F1">
        <w:rPr>
          <w:b/>
          <w:bCs/>
        </w:rPr>
        <w:t xml:space="preserve">образованието като неделимо цяло и отдават голямо значение на </w:t>
      </w:r>
      <w:r w:rsidR="0036638D" w:rsidRPr="00F627F1">
        <w:rPr>
          <w:b/>
          <w:bCs/>
        </w:rPr>
        <w:t>качествено</w:t>
      </w:r>
      <w:r w:rsidRPr="00F627F1">
        <w:rPr>
          <w:b/>
          <w:bCs/>
        </w:rPr>
        <w:t xml:space="preserve"> средно образование, за да </w:t>
      </w:r>
      <w:r w:rsidR="0036638D" w:rsidRPr="00F627F1">
        <w:rPr>
          <w:b/>
          <w:bCs/>
        </w:rPr>
        <w:t>осигурят качествено висше образование</w:t>
      </w:r>
      <w:r w:rsidR="002321DB">
        <w:rPr>
          <w:lang w:val="en-GB"/>
        </w:rPr>
        <w:t xml:space="preserve">. </w:t>
      </w:r>
      <w:r w:rsidR="00571BDE" w:rsidRPr="002321DB">
        <w:t xml:space="preserve">Последното издание на </w:t>
      </w:r>
      <w:r w:rsidRPr="002321DB">
        <w:t xml:space="preserve"> </w:t>
      </w:r>
      <w:r w:rsidR="00571BDE" w:rsidRPr="002321DB">
        <w:rPr>
          <w:lang w:val="en-US"/>
        </w:rPr>
        <w:t xml:space="preserve">PISA </w:t>
      </w:r>
      <w:r w:rsidR="002321DB">
        <w:rPr>
          <w:lang w:val="en-US"/>
        </w:rPr>
        <w:t xml:space="preserve">e </w:t>
      </w:r>
      <w:r w:rsidR="002321DB">
        <w:t xml:space="preserve">показателно, давайки </w:t>
      </w:r>
      <w:r w:rsidR="00571BDE" w:rsidRPr="002321DB">
        <w:t>дефинитивно обяснение за причината на ниското качество на ВО</w:t>
      </w:r>
      <w:r w:rsidR="002321DB">
        <w:t xml:space="preserve"> поради наблюдаваното</w:t>
      </w:r>
      <w:r w:rsidR="00571BDE" w:rsidRPr="002321DB">
        <w:t xml:space="preserve"> системно снижение на резултатите на учениците в последните няколко години.</w:t>
      </w:r>
      <w:r w:rsidR="00571BDE">
        <w:t xml:space="preserve"> </w:t>
      </w:r>
      <w:r w:rsidRPr="00F627F1">
        <w:t>Повечето образователни системи  са консервативни и резки промени в програмите и начина на обучение не се правят - следват се традициите, националните нагласи</w:t>
      </w:r>
      <w:r w:rsidR="00B269CD" w:rsidRPr="00F627F1">
        <w:t>. П</w:t>
      </w:r>
      <w:r w:rsidRPr="00F627F1">
        <w:t xml:space="preserve">ряк чужд опит се приема и прилага предпазливо. </w:t>
      </w:r>
    </w:p>
    <w:p w14:paraId="4F414B24" w14:textId="075E1D9D" w:rsidR="00033CA2" w:rsidRPr="00F627F1" w:rsidRDefault="00B269CD" w:rsidP="00766636">
      <w:pPr>
        <w:pStyle w:val="ListParagraph"/>
        <w:numPr>
          <w:ilvl w:val="0"/>
          <w:numId w:val="11"/>
        </w:numPr>
        <w:jc w:val="both"/>
      </w:pPr>
      <w:r w:rsidRPr="00F627F1">
        <w:t>Средното п</w:t>
      </w:r>
      <w:r w:rsidR="00033CA2" w:rsidRPr="00F627F1">
        <w:t xml:space="preserve">рофесионалното образование </w:t>
      </w:r>
      <w:r w:rsidRPr="00F627F1">
        <w:t xml:space="preserve"> и професионалното образование </w:t>
      </w:r>
      <w:r w:rsidR="00033CA2" w:rsidRPr="00F627F1">
        <w:t>след средното училище е много силно развито във всички силни икономики. Младежите със средно специално образование и тези</w:t>
      </w:r>
      <w:r w:rsidRPr="00F627F1">
        <w:t>,</w:t>
      </w:r>
      <w:r w:rsidR="00033CA2" w:rsidRPr="00F627F1">
        <w:t xml:space="preserve"> завършили тристепенното висше образования, са сред най-търсената работна ръка.</w:t>
      </w:r>
    </w:p>
    <w:p w14:paraId="3BD9BE4F" w14:textId="71C4C857" w:rsidR="00033CA2" w:rsidRPr="00F627F1" w:rsidRDefault="0036638D" w:rsidP="00766636">
      <w:pPr>
        <w:pStyle w:val="ListParagraph"/>
        <w:numPr>
          <w:ilvl w:val="0"/>
          <w:numId w:val="11"/>
        </w:numPr>
        <w:jc w:val="both"/>
      </w:pPr>
      <w:r w:rsidRPr="00F627F1">
        <w:t>Учебните програми, качеството на обучението и успехите при реализацията на студентите се следят много строго от независими органи. В страните с успешна икономика бизнесът, чрез свои представителни  организации участва в оценката на съдържанието и качеството на учебните програми</w:t>
      </w:r>
      <w:r w:rsidR="00B269CD" w:rsidRPr="00F627F1">
        <w:t xml:space="preserve"> (Германия). </w:t>
      </w:r>
    </w:p>
    <w:p w14:paraId="70EE3E21" w14:textId="45692F19" w:rsidR="00F627F1" w:rsidRDefault="00B269CD" w:rsidP="00B655E7">
      <w:pPr>
        <w:pStyle w:val="ListParagraph"/>
        <w:numPr>
          <w:ilvl w:val="0"/>
          <w:numId w:val="11"/>
        </w:numPr>
        <w:ind w:left="714" w:hanging="357"/>
        <w:jc w:val="both"/>
      </w:pPr>
      <w:r w:rsidRPr="00F627F1">
        <w:t>Правото на висшите училища и университетите да присъждат докторски степени в много от страните не е безусловно. Различни органи, вкл. политическите,  решават кое ВУ в кои области има право да ги присъжда въз основа на регламентирани критерии. Така там, където поради национални традиции и опит се налага контрол, той съществува (Швеция и Чехия)</w:t>
      </w:r>
      <w:r w:rsidR="00F627F1" w:rsidRPr="00F627F1">
        <w:t xml:space="preserve"> </w:t>
      </w:r>
    </w:p>
    <w:p w14:paraId="5F726D6F" w14:textId="1A972A23" w:rsidR="00F627F1" w:rsidRDefault="00F627F1" w:rsidP="00766636">
      <w:pPr>
        <w:jc w:val="both"/>
      </w:pPr>
    </w:p>
    <w:p w14:paraId="34383EFB" w14:textId="171A9CBD" w:rsidR="00F627F1" w:rsidRPr="00CB04C0" w:rsidRDefault="005F6BF4" w:rsidP="00CB04C0">
      <w:pPr>
        <w:pStyle w:val="Heading4"/>
        <w:rPr>
          <w:rStyle w:val="SubtleEmphasis"/>
          <w:i/>
          <w:iCs/>
          <w:color w:val="4472C4" w:themeColor="accent1"/>
        </w:rPr>
      </w:pPr>
      <w:r w:rsidRPr="00CB04C0">
        <w:rPr>
          <w:rStyle w:val="SubtleEmphasis"/>
          <w:i/>
          <w:iCs/>
          <w:color w:val="4472C4" w:themeColor="accent1"/>
        </w:rPr>
        <w:t xml:space="preserve">1.2. </w:t>
      </w:r>
      <w:r w:rsidR="00F627F1" w:rsidRPr="00CB04C0">
        <w:rPr>
          <w:rStyle w:val="SubtleEmphasis"/>
          <w:i/>
          <w:iCs/>
          <w:color w:val="4472C4" w:themeColor="accent1"/>
        </w:rPr>
        <w:t>Връзката висши училища - бизнес</w:t>
      </w:r>
    </w:p>
    <w:p w14:paraId="1B8D77AA" w14:textId="01889CA6" w:rsidR="00F627F1" w:rsidRPr="00F627F1" w:rsidRDefault="00F627F1" w:rsidP="00766636">
      <w:pPr>
        <w:pStyle w:val="ListParagraph"/>
        <w:numPr>
          <w:ilvl w:val="0"/>
          <w:numId w:val="11"/>
        </w:numPr>
        <w:jc w:val="both"/>
      </w:pPr>
      <w:r w:rsidRPr="00F627F1">
        <w:t>На връзките бизнес-университети в рамките на ЕС се обръща много голямо внимание. Инициативата е двустранна. Особено роля имат личните контакти и проучванията показват, че най-често инициатори и модератори на създаване на ползотворно коопериране са възпитаници на университети, които са на ръководни постове в бизнеса</w:t>
      </w:r>
    </w:p>
    <w:p w14:paraId="6A263AD9" w14:textId="77777777" w:rsidR="00F627F1" w:rsidRDefault="00F627F1" w:rsidP="00766636">
      <w:pPr>
        <w:pStyle w:val="ListParagraph"/>
        <w:numPr>
          <w:ilvl w:val="0"/>
          <w:numId w:val="11"/>
        </w:numPr>
        <w:jc w:val="both"/>
      </w:pPr>
      <w:r>
        <w:rPr>
          <w:b/>
          <w:bCs/>
        </w:rPr>
        <w:t>К</w:t>
      </w:r>
      <w:r w:rsidRPr="00F627F1">
        <w:rPr>
          <w:b/>
          <w:bCs/>
        </w:rPr>
        <w:t>ооперирането на</w:t>
      </w:r>
      <w:r>
        <w:rPr>
          <w:b/>
          <w:bCs/>
        </w:rPr>
        <w:t xml:space="preserve"> ВУ </w:t>
      </w:r>
      <w:r w:rsidRPr="00F627F1">
        <w:rPr>
          <w:b/>
          <w:bCs/>
        </w:rPr>
        <w:t>с научни центрове и бизнеси за развиване на научните изследвания и иновации са традиционно добри, дългогодишни, като се поощряват и подкрепят от правителствата, вкл. и финансово, и/или чрез създаване на връзки на всякакво ниво</w:t>
      </w:r>
      <w:r>
        <w:rPr>
          <w:b/>
          <w:bCs/>
        </w:rPr>
        <w:t xml:space="preserve"> </w:t>
      </w:r>
      <w:r w:rsidRPr="00F627F1">
        <w:t xml:space="preserve">и под най-различни форми: възложени изследвания с договори; учебни програми, съобразени с нуждите на </w:t>
      </w:r>
      <w:r w:rsidRPr="00F627F1">
        <w:lastRenderedPageBreak/>
        <w:t xml:space="preserve">регионалния бизнес, докторантури по теми възложени от бизнеса, обучение на докторанти, които са на постоянна работа в различни бизнеси. </w:t>
      </w:r>
    </w:p>
    <w:p w14:paraId="00614286" w14:textId="0F266D19" w:rsidR="00F627F1" w:rsidRPr="00F627F1" w:rsidRDefault="00F627F1" w:rsidP="00766636">
      <w:pPr>
        <w:pStyle w:val="ListParagraph"/>
        <w:numPr>
          <w:ilvl w:val="0"/>
          <w:numId w:val="11"/>
        </w:numPr>
        <w:jc w:val="both"/>
      </w:pPr>
      <w:r w:rsidRPr="00F627F1">
        <w:t>Освен преки връзки, в изследванията и обучението, връзките се поддържат и чрез</w:t>
      </w:r>
      <w:r w:rsidRPr="00F627F1">
        <w:rPr>
          <w:b/>
          <w:bCs/>
        </w:rPr>
        <w:t xml:space="preserve"> постоянни срещи и обмен на мнения между професионалните бизнес организации </w:t>
      </w:r>
      <w:r>
        <w:rPr>
          <w:b/>
          <w:bCs/>
        </w:rPr>
        <w:t>(тъ</w:t>
      </w:r>
      <w:r w:rsidRPr="00F627F1">
        <w:rPr>
          <w:b/>
          <w:bCs/>
        </w:rPr>
        <w:t>рговските или индустриалните камари или друг вид бизнес организации) и професионалните организации на висшите училища (обединенията на ректорите под различна форма)</w:t>
      </w:r>
      <w:r>
        <w:rPr>
          <w:b/>
          <w:bCs/>
        </w:rPr>
        <w:t xml:space="preserve">. </w:t>
      </w:r>
      <w:r w:rsidRPr="00F627F1">
        <w:rPr>
          <w:b/>
          <w:bCs/>
        </w:rPr>
        <w:t xml:space="preserve"> </w:t>
      </w:r>
      <w:r w:rsidRPr="00F627F1">
        <w:t>В Германия т.н. Конференция на ректорите е с голямо влияние пред бизнеса и органите, взимащи политически решения</w:t>
      </w:r>
      <w:r w:rsidRPr="00F627F1">
        <w:rPr>
          <w:b/>
          <w:bCs/>
        </w:rPr>
        <w:t xml:space="preserve">. </w:t>
      </w:r>
    </w:p>
    <w:p w14:paraId="2E41B246" w14:textId="55F5A399" w:rsidR="00F627F1" w:rsidRDefault="00F627F1" w:rsidP="00B655E7">
      <w:pPr>
        <w:pStyle w:val="ListParagraph"/>
        <w:numPr>
          <w:ilvl w:val="0"/>
          <w:numId w:val="11"/>
        </w:numPr>
        <w:ind w:left="714" w:hanging="357"/>
        <w:jc w:val="both"/>
      </w:pPr>
      <w:r w:rsidRPr="00F627F1">
        <w:rPr>
          <w:b/>
          <w:bCs/>
        </w:rPr>
        <w:t>Не съществува  обособена институционализирана „обратна връзка“ между правителството/органите взимащи политически решения и бизнеса в областта на висшето образование.</w:t>
      </w:r>
      <w:r w:rsidRPr="00F627F1">
        <w:t xml:space="preserve"> „Обратната връзка“ е се състои от многопосочни, тесни, постоянни и разнообразни по форма връзки. На различни нива тече постоянен обмен на информация и мнения, върху основа на които се взимат стратегически и тактически решение в областта на висшето образование. Голяма е ролята на професионалните организации на частния сектор и на професионалните университетски обединения, каквито са тези на ректорите. Същевременно, в някои от страните членки, Германия най-вече, много перспективна и плодотворна е ролята на независими консултантски групи/мрежи с различен статут. </w:t>
      </w:r>
    </w:p>
    <w:p w14:paraId="4B920697" w14:textId="77777777" w:rsidR="00B655E7" w:rsidRDefault="00B655E7" w:rsidP="00B655E7">
      <w:pPr>
        <w:pStyle w:val="ListParagraph"/>
        <w:ind w:left="714"/>
        <w:jc w:val="both"/>
      </w:pPr>
    </w:p>
    <w:p w14:paraId="12F66B9D" w14:textId="49269D42" w:rsidR="005F6BF4" w:rsidRPr="00CB04C0" w:rsidRDefault="005F6BF4" w:rsidP="00CB04C0">
      <w:pPr>
        <w:pStyle w:val="Heading4"/>
        <w:rPr>
          <w:rStyle w:val="SubtleEmphasis"/>
          <w:i/>
          <w:iCs/>
          <w:color w:val="4472C4" w:themeColor="accent1"/>
        </w:rPr>
      </w:pPr>
      <w:r w:rsidRPr="00CB04C0">
        <w:rPr>
          <w:rStyle w:val="SubtleEmphasis"/>
          <w:i/>
          <w:iCs/>
          <w:color w:val="4472C4" w:themeColor="accent1"/>
        </w:rPr>
        <w:t>1.3. Роля на политико-правещите органи</w:t>
      </w:r>
    </w:p>
    <w:p w14:paraId="00DF5FC7" w14:textId="518DA276" w:rsidR="005F6BF4" w:rsidRDefault="004D216F" w:rsidP="0076663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</w:t>
      </w:r>
      <w:r w:rsidR="005F6BF4" w:rsidRPr="005F6BF4">
        <w:rPr>
          <w:sz w:val="22"/>
          <w:szCs w:val="22"/>
          <w:lang w:val="bg-BG"/>
        </w:rPr>
        <w:t xml:space="preserve">пределят политиките към висшето образование и формулират основните му цели с различни законодателни актове. </w:t>
      </w:r>
    </w:p>
    <w:p w14:paraId="6DBE0F98" w14:textId="7B44BE2D" w:rsidR="005F6BF4" w:rsidRPr="005F6BF4" w:rsidRDefault="005F6BF4" w:rsidP="0076663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Поемат </w:t>
      </w:r>
      <w:r w:rsidRPr="005F6BF4">
        <w:rPr>
          <w:sz w:val="22"/>
          <w:szCs w:val="22"/>
          <w:lang w:val="bg-BG"/>
        </w:rPr>
        <w:t>основният дял от финансирането на висшето образование</w:t>
      </w:r>
      <w:r>
        <w:rPr>
          <w:sz w:val="22"/>
          <w:szCs w:val="22"/>
          <w:lang w:val="bg-BG"/>
        </w:rPr>
        <w:t>;</w:t>
      </w:r>
      <w:r w:rsidRPr="005F6BF4">
        <w:rPr>
          <w:sz w:val="22"/>
          <w:szCs w:val="22"/>
          <w:lang w:val="bg-BG"/>
        </w:rPr>
        <w:t xml:space="preserve">; </w:t>
      </w:r>
    </w:p>
    <w:p w14:paraId="4E23FCD0" w14:textId="293CB306" w:rsidR="005F6BF4" w:rsidRPr="005F6BF4" w:rsidRDefault="005F6BF4" w:rsidP="00766636">
      <w:pPr>
        <w:pStyle w:val="Default"/>
        <w:numPr>
          <w:ilvl w:val="0"/>
          <w:numId w:val="20"/>
        </w:numPr>
        <w:spacing w:after="18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</w:t>
      </w:r>
      <w:r w:rsidRPr="005F6BF4">
        <w:rPr>
          <w:sz w:val="22"/>
          <w:szCs w:val="22"/>
          <w:lang w:val="bg-BG"/>
        </w:rPr>
        <w:t xml:space="preserve">асърчават и подкрепят финансово научните изследвания във висшите училища </w:t>
      </w:r>
      <w:r>
        <w:rPr>
          <w:sz w:val="22"/>
          <w:szCs w:val="22"/>
          <w:lang w:val="bg-BG"/>
        </w:rPr>
        <w:t xml:space="preserve">изисквайки </w:t>
      </w:r>
      <w:r w:rsidRPr="005F6BF4">
        <w:rPr>
          <w:sz w:val="22"/>
          <w:szCs w:val="22"/>
          <w:lang w:val="bg-BG"/>
        </w:rPr>
        <w:t xml:space="preserve"> участие</w:t>
      </w:r>
      <w:r>
        <w:rPr>
          <w:sz w:val="22"/>
          <w:szCs w:val="22"/>
          <w:lang w:val="bg-BG"/>
        </w:rPr>
        <w:t>то</w:t>
      </w:r>
      <w:r w:rsidRPr="005F6BF4">
        <w:rPr>
          <w:sz w:val="22"/>
          <w:szCs w:val="22"/>
          <w:lang w:val="bg-BG"/>
        </w:rPr>
        <w:t xml:space="preserve"> на студенти в тях; </w:t>
      </w:r>
    </w:p>
    <w:p w14:paraId="55A69333" w14:textId="7374547A" w:rsidR="005F6BF4" w:rsidRPr="005F6BF4" w:rsidRDefault="004D216F" w:rsidP="00766636">
      <w:pPr>
        <w:pStyle w:val="Default"/>
        <w:numPr>
          <w:ilvl w:val="0"/>
          <w:numId w:val="20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</w:t>
      </w:r>
      <w:r w:rsidR="005F6BF4" w:rsidRPr="005F6BF4">
        <w:rPr>
          <w:sz w:val="22"/>
          <w:szCs w:val="22"/>
          <w:lang w:val="bg-BG"/>
        </w:rPr>
        <w:t xml:space="preserve">зимат решения: чрез закони, правилници (а в някои страни - чрез пряко участие в управлението им), без да нарушават свободата на висшите училища да участват при избора на научните области и начина на преподаване </w:t>
      </w:r>
    </w:p>
    <w:p w14:paraId="7269EAFC" w14:textId="77777777" w:rsidR="005F6BF4" w:rsidRPr="005F6BF4" w:rsidRDefault="005F6BF4" w:rsidP="00766636">
      <w:pPr>
        <w:pStyle w:val="Default"/>
        <w:numPr>
          <w:ilvl w:val="1"/>
          <w:numId w:val="18"/>
        </w:numPr>
        <w:jc w:val="both"/>
        <w:rPr>
          <w:sz w:val="22"/>
          <w:szCs w:val="22"/>
          <w:lang w:val="bg-BG"/>
        </w:rPr>
      </w:pPr>
    </w:p>
    <w:p w14:paraId="5BE59A3B" w14:textId="08E62C32" w:rsidR="001A19CE" w:rsidRPr="00CB04C0" w:rsidRDefault="008966D6" w:rsidP="00CB04C0">
      <w:pPr>
        <w:pStyle w:val="Heading3"/>
      </w:pPr>
      <w:bookmarkStart w:id="6" w:name="_Toc18360388"/>
      <w:bookmarkStart w:id="7" w:name="_Toc26806449"/>
      <w:r w:rsidRPr="00CB04C0">
        <w:t>2</w:t>
      </w:r>
      <w:r w:rsidR="00443C1A" w:rsidRPr="00CB04C0">
        <w:t xml:space="preserve">. </w:t>
      </w:r>
      <w:bookmarkStart w:id="8" w:name="_Hlk24642456"/>
      <w:r w:rsidR="00693EF3" w:rsidRPr="00CB04C0">
        <w:t>К</w:t>
      </w:r>
      <w:r w:rsidR="001A19CE" w:rsidRPr="00CB04C0">
        <w:rPr>
          <w:rStyle w:val="Emphasis"/>
          <w:i w:val="0"/>
          <w:iCs w:val="0"/>
        </w:rPr>
        <w:t>ачество на висшето образование</w:t>
      </w:r>
      <w:bookmarkEnd w:id="6"/>
      <w:bookmarkEnd w:id="8"/>
      <w:r w:rsidR="00693EF3" w:rsidRPr="00CB04C0">
        <w:rPr>
          <w:rStyle w:val="Emphasis"/>
          <w:i w:val="0"/>
          <w:iCs w:val="0"/>
        </w:rPr>
        <w:t xml:space="preserve"> у нас</w:t>
      </w:r>
      <w:bookmarkEnd w:id="7"/>
    </w:p>
    <w:p w14:paraId="125AB928" w14:textId="6D8CC0F1" w:rsidR="004627F3" w:rsidRPr="00766636" w:rsidRDefault="009C74FE" w:rsidP="00766636">
      <w:pPr>
        <w:jc w:val="both"/>
        <w:rPr>
          <w:rFonts w:ascii="Calibri" w:hAnsi="Calibri" w:cs="Calibri"/>
          <w:szCs w:val="24"/>
        </w:rPr>
      </w:pPr>
      <w:r w:rsidRPr="00766636">
        <w:rPr>
          <w:rFonts w:ascii="Calibri" w:hAnsi="Calibri" w:cs="Calibri"/>
          <w:szCs w:val="24"/>
        </w:rPr>
        <w:t>В</w:t>
      </w:r>
      <w:r w:rsidR="00A1612D" w:rsidRPr="00766636">
        <w:rPr>
          <w:rFonts w:ascii="Calibri" w:hAnsi="Calibri" w:cs="Calibri"/>
          <w:szCs w:val="24"/>
        </w:rPr>
        <w:t xml:space="preserve">исшето образование </w:t>
      </w:r>
      <w:r w:rsidR="00FB5B4D" w:rsidRPr="00766636">
        <w:rPr>
          <w:rFonts w:ascii="Calibri" w:hAnsi="Calibri" w:cs="Calibri"/>
          <w:szCs w:val="24"/>
        </w:rPr>
        <w:t xml:space="preserve">у нас </w:t>
      </w:r>
      <w:r w:rsidR="001A19CE" w:rsidRPr="00766636">
        <w:rPr>
          <w:rFonts w:ascii="Calibri" w:hAnsi="Calibri" w:cs="Calibri"/>
          <w:szCs w:val="24"/>
        </w:rPr>
        <w:t>не отговаря</w:t>
      </w:r>
      <w:r w:rsidR="00A1612D" w:rsidRPr="00766636">
        <w:rPr>
          <w:rFonts w:ascii="Calibri" w:hAnsi="Calibri" w:cs="Calibri"/>
          <w:szCs w:val="24"/>
        </w:rPr>
        <w:t xml:space="preserve"> на съвременните изисквания на бизнеса и </w:t>
      </w:r>
      <w:r w:rsidR="004627F3" w:rsidRPr="00766636">
        <w:rPr>
          <w:rFonts w:ascii="Calibri" w:hAnsi="Calibri" w:cs="Calibri"/>
          <w:szCs w:val="24"/>
        </w:rPr>
        <w:t>на</w:t>
      </w:r>
      <w:r w:rsidR="00FB5B4D" w:rsidRPr="00766636">
        <w:rPr>
          <w:rFonts w:ascii="Calibri" w:hAnsi="Calibri" w:cs="Calibri"/>
          <w:szCs w:val="24"/>
        </w:rPr>
        <w:t xml:space="preserve"> въвеждането на</w:t>
      </w:r>
      <w:r w:rsidR="004627F3" w:rsidRPr="00766636">
        <w:rPr>
          <w:rFonts w:ascii="Calibri" w:hAnsi="Calibri" w:cs="Calibri"/>
          <w:szCs w:val="24"/>
        </w:rPr>
        <w:t xml:space="preserve"> нов</w:t>
      </w:r>
      <w:r w:rsidR="001F1B95" w:rsidRPr="00766636">
        <w:rPr>
          <w:rFonts w:ascii="Calibri" w:hAnsi="Calibri" w:cs="Calibri"/>
          <w:szCs w:val="24"/>
        </w:rPr>
        <w:t xml:space="preserve">и технологии </w:t>
      </w:r>
      <w:r w:rsidR="00FB5B4D" w:rsidRPr="00766636">
        <w:rPr>
          <w:rFonts w:ascii="Calibri" w:hAnsi="Calibri" w:cs="Calibri"/>
          <w:szCs w:val="24"/>
        </w:rPr>
        <w:t xml:space="preserve">в много области, с изключение на ИТ. </w:t>
      </w:r>
    </w:p>
    <w:p w14:paraId="3D7DE057" w14:textId="77777777" w:rsidR="001A19CE" w:rsidRPr="00766636" w:rsidRDefault="001F1B95" w:rsidP="0076663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iCs/>
          <w:szCs w:val="24"/>
        </w:rPr>
      </w:pPr>
      <w:r w:rsidRPr="00766636">
        <w:rPr>
          <w:rFonts w:ascii="Calibri" w:hAnsi="Calibri" w:cs="Calibri"/>
          <w:bCs/>
          <w:iCs/>
          <w:szCs w:val="24"/>
        </w:rPr>
        <w:t>Съществува</w:t>
      </w:r>
      <w:r w:rsidR="001A19CE" w:rsidRPr="00766636">
        <w:rPr>
          <w:rFonts w:ascii="Calibri" w:hAnsi="Calibri" w:cs="Calibri"/>
          <w:bCs/>
          <w:iCs/>
          <w:szCs w:val="24"/>
        </w:rPr>
        <w:t xml:space="preserve"> </w:t>
      </w:r>
      <w:r w:rsidR="00443C1A" w:rsidRPr="00766636">
        <w:rPr>
          <w:rFonts w:ascii="Calibri" w:hAnsi="Calibri" w:cs="Calibri"/>
          <w:bCs/>
          <w:iCs/>
          <w:szCs w:val="24"/>
        </w:rPr>
        <w:t xml:space="preserve">дефицит </w:t>
      </w:r>
      <w:r w:rsidR="001A19CE" w:rsidRPr="00766636">
        <w:rPr>
          <w:rFonts w:ascii="Calibri" w:hAnsi="Calibri" w:cs="Calibri"/>
          <w:bCs/>
          <w:iCs/>
          <w:szCs w:val="24"/>
        </w:rPr>
        <w:t>на човешки ресурс, бизнесът оперира с ниско квалифициран персонал, който не спазва технологична</w:t>
      </w:r>
      <w:r w:rsidRPr="00766636">
        <w:rPr>
          <w:rFonts w:ascii="Calibri" w:hAnsi="Calibri" w:cs="Calibri"/>
          <w:bCs/>
          <w:iCs/>
          <w:szCs w:val="24"/>
        </w:rPr>
        <w:t>та</w:t>
      </w:r>
      <w:r w:rsidR="001A19CE" w:rsidRPr="00766636">
        <w:rPr>
          <w:rFonts w:ascii="Calibri" w:hAnsi="Calibri" w:cs="Calibri"/>
          <w:bCs/>
          <w:iCs/>
          <w:szCs w:val="24"/>
        </w:rPr>
        <w:t xml:space="preserve"> дисциплина</w:t>
      </w:r>
    </w:p>
    <w:p w14:paraId="211434E9" w14:textId="4503D061" w:rsidR="001E6C1E" w:rsidRPr="00766636" w:rsidRDefault="001E6C1E" w:rsidP="0076663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iCs/>
          <w:szCs w:val="24"/>
        </w:rPr>
      </w:pPr>
      <w:r w:rsidRPr="00766636">
        <w:rPr>
          <w:rFonts w:ascii="Calibri" w:hAnsi="Calibri" w:cs="Calibri"/>
          <w:iCs/>
          <w:szCs w:val="24"/>
        </w:rPr>
        <w:t>Липс</w:t>
      </w:r>
      <w:r w:rsidR="00443C1A" w:rsidRPr="00766636">
        <w:rPr>
          <w:rFonts w:ascii="Calibri" w:hAnsi="Calibri" w:cs="Calibri"/>
          <w:iCs/>
          <w:szCs w:val="24"/>
        </w:rPr>
        <w:t>в</w:t>
      </w:r>
      <w:r w:rsidRPr="00766636">
        <w:rPr>
          <w:rFonts w:ascii="Calibri" w:hAnsi="Calibri" w:cs="Calibri"/>
          <w:iCs/>
          <w:szCs w:val="24"/>
        </w:rPr>
        <w:t>а</w:t>
      </w:r>
      <w:r w:rsidR="00443C1A" w:rsidRPr="00766636">
        <w:rPr>
          <w:rFonts w:ascii="Calibri" w:hAnsi="Calibri" w:cs="Calibri"/>
          <w:iCs/>
          <w:szCs w:val="24"/>
        </w:rPr>
        <w:t xml:space="preserve">т </w:t>
      </w:r>
      <w:r w:rsidRPr="00766636">
        <w:rPr>
          <w:rFonts w:ascii="Calibri" w:hAnsi="Calibri" w:cs="Calibri"/>
          <w:iCs/>
          <w:szCs w:val="24"/>
        </w:rPr>
        <w:t>практически професионални умения у завършващите студенти</w:t>
      </w:r>
      <w:r w:rsidR="00215126" w:rsidRPr="00766636">
        <w:rPr>
          <w:rFonts w:ascii="Calibri" w:hAnsi="Calibri" w:cs="Calibri"/>
          <w:iCs/>
          <w:szCs w:val="24"/>
        </w:rPr>
        <w:t>.</w:t>
      </w:r>
      <w:r w:rsidRPr="00766636">
        <w:rPr>
          <w:rFonts w:ascii="Calibri" w:hAnsi="Calibri" w:cs="Calibri"/>
          <w:bCs/>
          <w:iCs/>
          <w:szCs w:val="24"/>
        </w:rPr>
        <w:t xml:space="preserve"> Причината е съкращаването или пълната липса на производствен стаж в реална </w:t>
      </w:r>
      <w:r w:rsidR="00FB5B4D" w:rsidRPr="00766636">
        <w:rPr>
          <w:rFonts w:ascii="Calibri" w:hAnsi="Calibri" w:cs="Calibri"/>
          <w:bCs/>
          <w:iCs/>
          <w:szCs w:val="24"/>
        </w:rPr>
        <w:t xml:space="preserve">работна </w:t>
      </w:r>
      <w:r w:rsidRPr="00766636">
        <w:rPr>
          <w:rFonts w:ascii="Calibri" w:hAnsi="Calibri" w:cs="Calibri"/>
          <w:bCs/>
          <w:iCs/>
          <w:szCs w:val="24"/>
        </w:rPr>
        <w:t>среда</w:t>
      </w:r>
    </w:p>
    <w:p w14:paraId="1F3E972D" w14:textId="77777777" w:rsidR="001E6C1E" w:rsidRPr="00766636" w:rsidRDefault="001E6C1E" w:rsidP="0076663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iCs/>
          <w:szCs w:val="24"/>
        </w:rPr>
      </w:pPr>
      <w:r w:rsidRPr="00766636">
        <w:rPr>
          <w:rFonts w:ascii="Calibri" w:hAnsi="Calibri" w:cs="Calibri"/>
          <w:iCs/>
          <w:szCs w:val="24"/>
        </w:rPr>
        <w:t>Липса на т.н. „меки  умения“</w:t>
      </w:r>
      <w:r w:rsidR="004234DF" w:rsidRPr="00766636">
        <w:rPr>
          <w:rFonts w:ascii="Calibri" w:hAnsi="Calibri" w:cs="Calibri"/>
          <w:iCs/>
          <w:szCs w:val="24"/>
        </w:rPr>
        <w:t xml:space="preserve"> пр</w:t>
      </w:r>
      <w:r w:rsidR="001F1B95" w:rsidRPr="00766636">
        <w:rPr>
          <w:rFonts w:ascii="Calibri" w:hAnsi="Calibri" w:cs="Calibri"/>
          <w:iCs/>
          <w:szCs w:val="24"/>
        </w:rPr>
        <w:t>и</w:t>
      </w:r>
      <w:r w:rsidR="004234DF" w:rsidRPr="00766636">
        <w:rPr>
          <w:rFonts w:ascii="Calibri" w:hAnsi="Calibri" w:cs="Calibri"/>
          <w:iCs/>
          <w:szCs w:val="24"/>
        </w:rPr>
        <w:t xml:space="preserve"> завършилите ВО</w:t>
      </w:r>
      <w:r w:rsidRPr="00766636">
        <w:rPr>
          <w:rFonts w:ascii="Calibri" w:hAnsi="Calibri" w:cs="Calibri"/>
          <w:iCs/>
          <w:szCs w:val="24"/>
        </w:rPr>
        <w:t>.</w:t>
      </w:r>
      <w:r w:rsidRPr="00766636">
        <w:rPr>
          <w:rFonts w:ascii="Calibri" w:hAnsi="Calibri" w:cs="Calibri"/>
          <w:bCs/>
          <w:iCs/>
          <w:szCs w:val="24"/>
        </w:rPr>
        <w:t xml:space="preserve"> </w:t>
      </w:r>
      <w:r w:rsidR="004234DF" w:rsidRPr="00766636">
        <w:rPr>
          <w:rFonts w:ascii="Calibri" w:hAnsi="Calibri" w:cs="Calibri"/>
          <w:bCs/>
          <w:iCs/>
          <w:szCs w:val="24"/>
        </w:rPr>
        <w:t xml:space="preserve">Дори </w:t>
      </w:r>
      <w:r w:rsidR="001F1B95" w:rsidRPr="00766636">
        <w:rPr>
          <w:rFonts w:ascii="Calibri" w:hAnsi="Calibri" w:cs="Calibri"/>
          <w:bCs/>
          <w:iCs/>
          <w:szCs w:val="24"/>
        </w:rPr>
        <w:t>и да имат</w:t>
      </w:r>
      <w:r w:rsidR="004234DF" w:rsidRPr="00766636">
        <w:rPr>
          <w:rFonts w:ascii="Calibri" w:hAnsi="Calibri" w:cs="Calibri"/>
          <w:bCs/>
          <w:iCs/>
          <w:szCs w:val="24"/>
        </w:rPr>
        <w:t xml:space="preserve"> </w:t>
      </w:r>
      <w:r w:rsidRPr="00766636">
        <w:rPr>
          <w:rFonts w:ascii="Calibri" w:hAnsi="Calibri" w:cs="Calibri"/>
          <w:bCs/>
          <w:iCs/>
          <w:szCs w:val="24"/>
        </w:rPr>
        <w:t xml:space="preserve">добри практически умения, добрите специалисти, не умеят да работят в екип, да </w:t>
      </w:r>
      <w:r w:rsidRPr="00766636">
        <w:rPr>
          <w:rFonts w:ascii="Calibri" w:hAnsi="Calibri" w:cs="Calibri"/>
          <w:bCs/>
          <w:iCs/>
          <w:szCs w:val="24"/>
        </w:rPr>
        <w:lastRenderedPageBreak/>
        <w:t xml:space="preserve">споделят отговорности, да преценяват и степенуват по важност проблемите и дейностите </w:t>
      </w:r>
    </w:p>
    <w:p w14:paraId="3F3A6C98" w14:textId="121A95DE" w:rsidR="00D13958" w:rsidRPr="00766636" w:rsidRDefault="00D13958" w:rsidP="0076663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iCs/>
          <w:szCs w:val="24"/>
        </w:rPr>
      </w:pPr>
      <w:r w:rsidRPr="00766636">
        <w:rPr>
          <w:rFonts w:ascii="Calibri" w:hAnsi="Calibri" w:cs="Calibri"/>
          <w:iCs/>
          <w:szCs w:val="24"/>
        </w:rPr>
        <w:t>Принципът на финансиране „Парите следват студента“ създава условия за ниско качество</w:t>
      </w:r>
      <w:r w:rsidR="00FB5B4D" w:rsidRPr="00766636">
        <w:rPr>
          <w:rFonts w:ascii="Calibri" w:hAnsi="Calibri" w:cs="Calibri"/>
          <w:iCs/>
          <w:szCs w:val="24"/>
        </w:rPr>
        <w:t xml:space="preserve"> на висшето образование. </w:t>
      </w:r>
    </w:p>
    <w:p w14:paraId="42FC2528" w14:textId="0317CD63" w:rsidR="00693EF3" w:rsidRPr="00CB04C0" w:rsidRDefault="00693EF3" w:rsidP="00CB04C0">
      <w:pPr>
        <w:pStyle w:val="Heading3"/>
        <w:rPr>
          <w:rStyle w:val="Strong"/>
          <w:b/>
          <w:bCs/>
        </w:rPr>
      </w:pPr>
      <w:bookmarkStart w:id="9" w:name="_Toc18360847"/>
      <w:bookmarkStart w:id="10" w:name="_Toc21471697"/>
      <w:bookmarkStart w:id="11" w:name="_Toc26806450"/>
      <w:r w:rsidRPr="00CB04C0">
        <w:rPr>
          <w:rStyle w:val="Strong"/>
          <w:b/>
          <w:bCs/>
        </w:rPr>
        <w:t>3.</w:t>
      </w:r>
      <w:bookmarkStart w:id="12" w:name="_Hlk24641052"/>
      <w:r w:rsidRPr="00CB04C0">
        <w:rPr>
          <w:rStyle w:val="Strong"/>
          <w:b/>
          <w:bCs/>
        </w:rPr>
        <w:t xml:space="preserve"> Връзка образование -  бизнес</w:t>
      </w:r>
      <w:bookmarkEnd w:id="9"/>
      <w:bookmarkEnd w:id="10"/>
      <w:bookmarkEnd w:id="11"/>
      <w:r w:rsidRPr="00CB04C0">
        <w:rPr>
          <w:rStyle w:val="Strong"/>
          <w:b/>
          <w:bCs/>
        </w:rPr>
        <w:t xml:space="preserve"> </w:t>
      </w:r>
      <w:bookmarkEnd w:id="12"/>
    </w:p>
    <w:p w14:paraId="5E2A46D2" w14:textId="77777777" w:rsidR="00693EF3" w:rsidRPr="00693EF3" w:rsidRDefault="00693EF3" w:rsidP="00766636">
      <w:pPr>
        <w:numPr>
          <w:ilvl w:val="0"/>
          <w:numId w:val="15"/>
        </w:numPr>
        <w:jc w:val="both"/>
        <w:rPr>
          <w:rFonts w:ascii="Calibri" w:hAnsi="Calibri" w:cs="Calibri"/>
          <w:bCs/>
          <w:iCs/>
          <w:szCs w:val="24"/>
        </w:rPr>
      </w:pPr>
      <w:r w:rsidRPr="00693EF3">
        <w:rPr>
          <w:rFonts w:ascii="Calibri" w:hAnsi="Calibri" w:cs="Calibri"/>
          <w:bCs/>
          <w:iCs/>
          <w:szCs w:val="24"/>
        </w:rPr>
        <w:t>Бизнесът и образователните институции нямат устойчив диалог и взаимно разбиране относно проблемите, засягащи обучаваните и тяхната реализация (бизнесът е в много случаи пасивен)</w:t>
      </w:r>
    </w:p>
    <w:p w14:paraId="16EBD795" w14:textId="77777777" w:rsidR="00693EF3" w:rsidRPr="00693EF3" w:rsidRDefault="00693EF3" w:rsidP="00766636">
      <w:pPr>
        <w:numPr>
          <w:ilvl w:val="0"/>
          <w:numId w:val="15"/>
        </w:numPr>
        <w:jc w:val="both"/>
        <w:rPr>
          <w:rFonts w:ascii="Calibri" w:hAnsi="Calibri" w:cs="Calibri"/>
          <w:bCs/>
          <w:iCs/>
          <w:szCs w:val="24"/>
        </w:rPr>
      </w:pPr>
      <w:r w:rsidRPr="00693EF3">
        <w:rPr>
          <w:rFonts w:ascii="Calibri" w:hAnsi="Calibri" w:cs="Calibri"/>
          <w:bCs/>
          <w:iCs/>
          <w:szCs w:val="24"/>
        </w:rPr>
        <w:t>Липсва общо виждане относно нуждите/очакванията на бизнеса, което да отговаря на целите и резултатите от ВО:</w:t>
      </w:r>
    </w:p>
    <w:p w14:paraId="70BA3B2E" w14:textId="7FC0E353" w:rsidR="00693EF3" w:rsidRPr="00766636" w:rsidRDefault="00693EF3" w:rsidP="00766636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  <w:bCs/>
          <w:iCs/>
          <w:szCs w:val="24"/>
        </w:rPr>
      </w:pPr>
      <w:r w:rsidRPr="00766636">
        <w:rPr>
          <w:rFonts w:ascii="Calibri" w:hAnsi="Calibri" w:cs="Calibri"/>
          <w:bCs/>
          <w:iCs/>
          <w:szCs w:val="24"/>
        </w:rPr>
        <w:t>бизнесът, очаква да получава напълно подготвени кадри за всяко работно място</w:t>
      </w:r>
    </w:p>
    <w:p w14:paraId="337D3B90" w14:textId="78573ECE" w:rsidR="00693EF3" w:rsidRPr="00766636" w:rsidRDefault="00693EF3" w:rsidP="00766636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  <w:bCs/>
          <w:iCs/>
          <w:szCs w:val="24"/>
        </w:rPr>
      </w:pPr>
      <w:r w:rsidRPr="00766636">
        <w:rPr>
          <w:rFonts w:ascii="Calibri" w:hAnsi="Calibri" w:cs="Calibri"/>
          <w:bCs/>
          <w:iCs/>
          <w:szCs w:val="24"/>
        </w:rPr>
        <w:t>ВУ предоставя фундаментална подготовка на обучаваните, а не тясно специализирани умения за всеки вид бизнес.</w:t>
      </w:r>
    </w:p>
    <w:p w14:paraId="6662D3DC" w14:textId="73E9DB45" w:rsidR="00693EF3" w:rsidRPr="00766636" w:rsidRDefault="00693EF3" w:rsidP="00766636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Cs/>
          <w:iCs/>
          <w:szCs w:val="24"/>
        </w:rPr>
      </w:pPr>
      <w:r w:rsidRPr="00766636">
        <w:rPr>
          <w:rFonts w:ascii="Calibri" w:hAnsi="Calibri" w:cs="Calibri"/>
          <w:bCs/>
          <w:iCs/>
          <w:szCs w:val="24"/>
        </w:rPr>
        <w:t>Липсва постоянен форум за обмен на информация между бизнеса и университетската наука и образование. Липсва активност и от страна на българските университети да инвестират усилия и ресурс, за създаване на профилирано обучение на кадрите, като споделят тази отговорност с бизнеса</w:t>
      </w:r>
    </w:p>
    <w:p w14:paraId="786682E0" w14:textId="0D57D32B" w:rsidR="00693EF3" w:rsidRPr="00766636" w:rsidRDefault="00693EF3" w:rsidP="00766636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Cs/>
          <w:iCs/>
          <w:szCs w:val="24"/>
        </w:rPr>
      </w:pPr>
      <w:r w:rsidRPr="00766636">
        <w:rPr>
          <w:rFonts w:ascii="Calibri" w:hAnsi="Calibri" w:cs="Calibri"/>
          <w:bCs/>
          <w:iCs/>
          <w:szCs w:val="24"/>
        </w:rPr>
        <w:t>Недостатъчна информираност за вече направени нормативни промени в политиката към ВО.</w:t>
      </w:r>
    </w:p>
    <w:p w14:paraId="0FB7B10E" w14:textId="77777777" w:rsidR="00693EF3" w:rsidRPr="00693EF3" w:rsidRDefault="00693EF3" w:rsidP="00766636">
      <w:pPr>
        <w:jc w:val="both"/>
        <w:rPr>
          <w:rFonts w:ascii="Calibri" w:hAnsi="Calibri" w:cs="Calibri"/>
          <w:bCs/>
          <w:iCs/>
          <w:szCs w:val="24"/>
        </w:rPr>
      </w:pPr>
      <w:r w:rsidRPr="00693EF3">
        <w:rPr>
          <w:rFonts w:ascii="Calibri" w:hAnsi="Calibri" w:cs="Calibri"/>
          <w:bCs/>
          <w:iCs/>
          <w:szCs w:val="24"/>
        </w:rPr>
        <w:t>NB!: Характерът на нашия бизнес не предполага висока степен на взаимодействие с ВУ - 92% от фирмите са микро-предприятия. т.е. бизнесът е предимно дребен, разпокъсан, с персонал от по 7-8 души, който няма нито амбиции, нито възможности да осъзнава и поддържа връзки с ВУ или с министерства.</w:t>
      </w:r>
    </w:p>
    <w:p w14:paraId="2090C50F" w14:textId="77777777" w:rsidR="00766636" w:rsidRDefault="00766636" w:rsidP="008966D6">
      <w:pPr>
        <w:rPr>
          <w:rStyle w:val="Strong"/>
          <w:i/>
          <w:iCs/>
          <w:color w:val="4472C4" w:themeColor="accent1"/>
        </w:rPr>
      </w:pPr>
    </w:p>
    <w:p w14:paraId="3725375C" w14:textId="77F8478E" w:rsidR="008966D6" w:rsidRPr="00B655E7" w:rsidRDefault="00B655E7" w:rsidP="00B655E7">
      <w:pPr>
        <w:pStyle w:val="Heading2"/>
        <w:jc w:val="center"/>
        <w:rPr>
          <w:rStyle w:val="Heading1Char"/>
          <w:b/>
          <w:bCs/>
          <w:sz w:val="32"/>
          <w:szCs w:val="32"/>
        </w:rPr>
      </w:pPr>
      <w:bookmarkStart w:id="13" w:name="_Toc26806451"/>
      <w:r w:rsidRPr="00B655E7">
        <w:rPr>
          <w:rStyle w:val="Strong"/>
          <w:b/>
          <w:bCs/>
        </w:rPr>
        <w:t xml:space="preserve">II. </w:t>
      </w:r>
      <w:r w:rsidR="00955506" w:rsidRPr="00B655E7">
        <w:rPr>
          <w:rStyle w:val="Strong"/>
          <w:b/>
          <w:bCs/>
        </w:rPr>
        <w:t xml:space="preserve"> </w:t>
      </w:r>
      <w:r>
        <w:rPr>
          <w:rStyle w:val="Strong"/>
          <w:b/>
          <w:bCs/>
        </w:rPr>
        <w:tab/>
      </w:r>
      <w:r w:rsidRPr="00B655E7">
        <w:rPr>
          <w:rStyle w:val="Heading1Char"/>
          <w:b/>
          <w:bCs/>
          <w:sz w:val="32"/>
          <w:szCs w:val="32"/>
        </w:rPr>
        <w:t>Предприети д</w:t>
      </w:r>
      <w:r w:rsidR="00A07D76" w:rsidRPr="00B655E7">
        <w:rPr>
          <w:rStyle w:val="Heading1Char"/>
          <w:b/>
          <w:bCs/>
          <w:sz w:val="32"/>
          <w:szCs w:val="32"/>
        </w:rPr>
        <w:t>ействия и мерки на п</w:t>
      </w:r>
      <w:r w:rsidR="007A2FCE" w:rsidRPr="00B655E7">
        <w:rPr>
          <w:rStyle w:val="Heading1Char"/>
          <w:b/>
          <w:bCs/>
          <w:sz w:val="32"/>
          <w:szCs w:val="32"/>
        </w:rPr>
        <w:t>олитико-правещи органи</w:t>
      </w:r>
      <w:r w:rsidR="00A07D76" w:rsidRPr="00B655E7">
        <w:rPr>
          <w:rStyle w:val="Heading1Char"/>
          <w:b/>
          <w:bCs/>
          <w:sz w:val="32"/>
          <w:szCs w:val="32"/>
        </w:rPr>
        <w:t xml:space="preserve"> у нас</w:t>
      </w:r>
      <w:bookmarkEnd w:id="13"/>
    </w:p>
    <w:p w14:paraId="1382D097" w14:textId="7FC971AA" w:rsidR="007A2FCE" w:rsidRPr="008966D6" w:rsidRDefault="007A2FCE" w:rsidP="00766636">
      <w:pPr>
        <w:jc w:val="both"/>
        <w:rPr>
          <w:rStyle w:val="Strong"/>
          <w:rFonts w:ascii="Calibri" w:hAnsi="Calibri" w:cs="Calibri"/>
          <w:b w:val="0"/>
          <w:bCs w:val="0"/>
          <w:szCs w:val="24"/>
        </w:rPr>
      </w:pPr>
      <w:r w:rsidRPr="00766636">
        <w:rPr>
          <w:rStyle w:val="Strong"/>
          <w:rFonts w:ascii="Calibri" w:hAnsi="Calibri" w:cs="Calibri"/>
          <w:b w:val="0"/>
          <w:bCs w:val="0"/>
          <w:szCs w:val="24"/>
        </w:rPr>
        <w:t>Отчитайки състоянието на пазара на труда у нас и  липсата на достатъчно квалифицирани кадри, през 2018 г.  политико-правещите органи у нас предприеха</w:t>
      </w:r>
      <w:r w:rsidRPr="00766636">
        <w:rPr>
          <w:rStyle w:val="Strong"/>
          <w:rFonts w:ascii="Calibri" w:hAnsi="Calibri" w:cs="Calibri"/>
          <w:i/>
          <w:iCs/>
          <w:szCs w:val="24"/>
        </w:rPr>
        <w:t xml:space="preserve"> </w:t>
      </w:r>
      <w:r w:rsidRPr="00766636">
        <w:rPr>
          <w:rStyle w:val="Strong"/>
          <w:rFonts w:ascii="Calibri" w:hAnsi="Calibri" w:cs="Calibri"/>
          <w:szCs w:val="24"/>
        </w:rPr>
        <w:t>з</w:t>
      </w:r>
      <w:r w:rsidRPr="008966D6">
        <w:rPr>
          <w:rStyle w:val="Strong"/>
          <w:rFonts w:ascii="Calibri" w:hAnsi="Calibri" w:cs="Calibri"/>
          <w:szCs w:val="24"/>
        </w:rPr>
        <w:t>аконодателни промени</w:t>
      </w:r>
      <w:r w:rsidRPr="00766636">
        <w:rPr>
          <w:rStyle w:val="Strong"/>
          <w:rFonts w:ascii="Calibri" w:hAnsi="Calibri" w:cs="Calibri"/>
          <w:szCs w:val="24"/>
        </w:rPr>
        <w:t>,</w:t>
      </w:r>
      <w:r w:rsidRPr="008966D6">
        <w:rPr>
          <w:rStyle w:val="Strong"/>
          <w:rFonts w:ascii="Calibri" w:hAnsi="Calibri" w:cs="Calibri"/>
          <w:szCs w:val="24"/>
        </w:rPr>
        <w:t xml:space="preserve"> насочени към  подобряване на връзките бизнес-университети </w:t>
      </w:r>
      <w:r w:rsidRPr="00766636">
        <w:rPr>
          <w:rStyle w:val="Strong"/>
          <w:rFonts w:ascii="Calibri" w:hAnsi="Calibri" w:cs="Calibri"/>
          <w:szCs w:val="24"/>
        </w:rPr>
        <w:t>(</w:t>
      </w:r>
      <w:r w:rsidRPr="008966D6">
        <w:rPr>
          <w:rStyle w:val="Strong"/>
          <w:rFonts w:ascii="Calibri" w:hAnsi="Calibri" w:cs="Calibri"/>
          <w:szCs w:val="24"/>
        </w:rPr>
        <w:t>2018</w:t>
      </w:r>
      <w:r w:rsidRPr="00766636">
        <w:rPr>
          <w:rStyle w:val="Strong"/>
          <w:rFonts w:ascii="Calibri" w:hAnsi="Calibri" w:cs="Calibri"/>
          <w:szCs w:val="24"/>
        </w:rPr>
        <w:t>).</w:t>
      </w:r>
    </w:p>
    <w:p w14:paraId="29C99545" w14:textId="77777777" w:rsidR="008966D6" w:rsidRPr="00766636" w:rsidRDefault="008966D6" w:rsidP="00B655E7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bCs/>
          <w:iCs/>
          <w:szCs w:val="24"/>
        </w:rPr>
      </w:pPr>
      <w:bookmarkStart w:id="14" w:name="_Toc26806452"/>
      <w:r w:rsidRPr="00B655E7">
        <w:rPr>
          <w:rStyle w:val="Heading2Char"/>
        </w:rPr>
        <w:t>Промени в Закона за висшето образование насочени към създаване и/или подобряване на връзките бизнес-университети</w:t>
      </w:r>
      <w:bookmarkEnd w:id="14"/>
      <w:r w:rsidRPr="00766636">
        <w:rPr>
          <w:rFonts w:ascii="Calibri" w:hAnsi="Calibri" w:cs="Calibri"/>
          <w:bCs/>
          <w:iCs/>
          <w:szCs w:val="24"/>
        </w:rPr>
        <w:t>:</w:t>
      </w:r>
    </w:p>
    <w:p w14:paraId="35705188" w14:textId="77777777" w:rsidR="008966D6" w:rsidRPr="008966D6" w:rsidRDefault="008966D6" w:rsidP="00B655E7">
      <w:pPr>
        <w:numPr>
          <w:ilvl w:val="0"/>
          <w:numId w:val="30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/>
          <w:bCs/>
          <w:iCs/>
          <w:szCs w:val="24"/>
        </w:rPr>
        <w:t>Съветите на настоятелите да включват участие на работодатели</w:t>
      </w:r>
      <w:r w:rsidRPr="008966D6">
        <w:rPr>
          <w:rFonts w:ascii="Calibri" w:hAnsi="Calibri" w:cs="Calibri"/>
          <w:bCs/>
          <w:iCs/>
          <w:szCs w:val="24"/>
        </w:rPr>
        <w:t xml:space="preserve"> ( съсловни браншови и професионални организации) чл. 35а, ал. 3; да дават становища по предложения за обновяване на учебните планове и програми, внесени от представители на работодателите чл. 35б;  </w:t>
      </w:r>
    </w:p>
    <w:p w14:paraId="30F4A39A" w14:textId="77777777" w:rsidR="008966D6" w:rsidRPr="008966D6" w:rsidRDefault="008966D6" w:rsidP="00B655E7">
      <w:pPr>
        <w:numPr>
          <w:ilvl w:val="0"/>
          <w:numId w:val="30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/>
          <w:bCs/>
          <w:iCs/>
          <w:szCs w:val="24"/>
        </w:rPr>
        <w:lastRenderedPageBreak/>
        <w:t>Комисиите за държавни изпити за ОКС бакалавър и магистър</w:t>
      </w:r>
      <w:r w:rsidRPr="008966D6">
        <w:rPr>
          <w:rFonts w:ascii="Calibri" w:hAnsi="Calibri" w:cs="Calibri"/>
          <w:bCs/>
          <w:iCs/>
          <w:szCs w:val="24"/>
        </w:rPr>
        <w:t xml:space="preserve"> включват външни лица, вкл. представители на работодателите чл. 45; </w:t>
      </w:r>
    </w:p>
    <w:p w14:paraId="34351294" w14:textId="77777777" w:rsidR="008966D6" w:rsidRPr="008966D6" w:rsidRDefault="008966D6" w:rsidP="00B655E7">
      <w:pPr>
        <w:numPr>
          <w:ilvl w:val="0"/>
          <w:numId w:val="30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Cs/>
          <w:iCs/>
          <w:szCs w:val="24"/>
        </w:rPr>
        <w:t xml:space="preserve">С решение на ФС до 10% от общия хорариум на учебните часове за ОКС „бакалавър“ и 20% за ОКС „магистър“ – могат да се провеждат от изявени специалисти от практиката чл. 26, ал. 1; </w:t>
      </w:r>
    </w:p>
    <w:p w14:paraId="7316841D" w14:textId="77777777" w:rsidR="008966D6" w:rsidRPr="008966D6" w:rsidRDefault="008966D6" w:rsidP="00B655E7">
      <w:pPr>
        <w:numPr>
          <w:ilvl w:val="0"/>
          <w:numId w:val="30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Cs/>
          <w:iCs/>
          <w:szCs w:val="24"/>
        </w:rPr>
        <w:t>ВУ имат право да привличат изявени специалисти от практиката с решение на ФС, при условия и ред, определени в правилника на ВУ чл. 52, ал. 5.</w:t>
      </w:r>
    </w:p>
    <w:p w14:paraId="41D75042" w14:textId="001AA7F9" w:rsidR="008966D6" w:rsidRPr="00B655E7" w:rsidRDefault="00B655E7" w:rsidP="00B655E7">
      <w:pPr>
        <w:ind w:left="284"/>
        <w:jc w:val="both"/>
        <w:rPr>
          <w:rFonts w:ascii="Calibri" w:hAnsi="Calibri" w:cs="Calibri"/>
          <w:bCs/>
          <w:iCs/>
          <w:szCs w:val="24"/>
        </w:rPr>
      </w:pPr>
      <w:bookmarkStart w:id="15" w:name="_Toc26806453"/>
      <w:r w:rsidRPr="00B655E7">
        <w:rPr>
          <w:rStyle w:val="Heading2Char"/>
        </w:rPr>
        <w:t xml:space="preserve">2. </w:t>
      </w:r>
      <w:r w:rsidR="008966D6" w:rsidRPr="00B655E7">
        <w:rPr>
          <w:rStyle w:val="Heading2Char"/>
        </w:rPr>
        <w:t>Други промени в нормативната база</w:t>
      </w:r>
      <w:bookmarkEnd w:id="15"/>
      <w:r w:rsidR="008966D6" w:rsidRPr="00B655E7">
        <w:rPr>
          <w:rFonts w:ascii="Calibri" w:hAnsi="Calibri" w:cs="Calibri"/>
          <w:bCs/>
          <w:iCs/>
          <w:szCs w:val="24"/>
        </w:rPr>
        <w:t>:</w:t>
      </w:r>
    </w:p>
    <w:p w14:paraId="7C2EDA66" w14:textId="77777777" w:rsidR="008966D6" w:rsidRPr="008966D6" w:rsidRDefault="008966D6" w:rsidP="00B655E7">
      <w:pPr>
        <w:numPr>
          <w:ilvl w:val="0"/>
          <w:numId w:val="29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Cs/>
          <w:iCs/>
          <w:szCs w:val="24"/>
        </w:rPr>
        <w:t xml:space="preserve">Променя се </w:t>
      </w:r>
      <w:r w:rsidRPr="008966D6">
        <w:rPr>
          <w:rFonts w:ascii="Calibri" w:hAnsi="Calibri" w:cs="Calibri"/>
          <w:b/>
          <w:bCs/>
          <w:iCs/>
          <w:szCs w:val="24"/>
        </w:rPr>
        <w:t>финансирането:</w:t>
      </w:r>
      <w:r w:rsidRPr="008966D6">
        <w:rPr>
          <w:rFonts w:ascii="Calibri" w:hAnsi="Calibri" w:cs="Calibri"/>
          <w:bCs/>
          <w:iCs/>
          <w:szCs w:val="24"/>
        </w:rPr>
        <w:t xml:space="preserve"> предвижда се до 2020г. 60% от финансирането да бъде въз основа на постигнатите резултати. </w:t>
      </w:r>
    </w:p>
    <w:p w14:paraId="2C7D86DF" w14:textId="77777777" w:rsidR="008966D6" w:rsidRPr="008966D6" w:rsidRDefault="008966D6" w:rsidP="00B655E7">
      <w:pPr>
        <w:numPr>
          <w:ilvl w:val="0"/>
          <w:numId w:val="29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Cs/>
          <w:iCs/>
          <w:szCs w:val="24"/>
        </w:rPr>
        <w:t xml:space="preserve">Държавната поръчка за прием на студенти в определени професионални области, включително икономика, бизнес администрация и туризъм, </w:t>
      </w:r>
      <w:r w:rsidRPr="008966D6">
        <w:rPr>
          <w:rFonts w:ascii="Calibri" w:hAnsi="Calibri" w:cs="Calibri"/>
          <w:b/>
          <w:bCs/>
          <w:iCs/>
          <w:szCs w:val="24"/>
        </w:rPr>
        <w:t>се редуцира или напълно се прекратява</w:t>
      </w:r>
      <w:r w:rsidRPr="008966D6">
        <w:rPr>
          <w:rFonts w:ascii="Calibri" w:hAnsi="Calibri" w:cs="Calibri"/>
          <w:bCs/>
          <w:iCs/>
          <w:szCs w:val="24"/>
        </w:rPr>
        <w:t xml:space="preserve"> за университети, които не отговарят на Рейтинговата система на висшите училища в България (РСВУ) за споменатите дисциплини. </w:t>
      </w:r>
    </w:p>
    <w:p w14:paraId="66ABF0C0" w14:textId="6CB34C02" w:rsidR="008966D6" w:rsidRPr="008966D6" w:rsidRDefault="00B655E7" w:rsidP="00B655E7">
      <w:pPr>
        <w:pStyle w:val="Heading2"/>
      </w:pPr>
      <w:bookmarkStart w:id="16" w:name="_Toc26806454"/>
      <w:r>
        <w:t xml:space="preserve">3. </w:t>
      </w:r>
      <w:r w:rsidR="00A07D76" w:rsidRPr="00766636">
        <w:t>Д</w:t>
      </w:r>
      <w:r w:rsidR="00E8200C" w:rsidRPr="008966D6">
        <w:t>ействия</w:t>
      </w:r>
      <w:r w:rsidR="00E8200C" w:rsidRPr="00766636">
        <w:t xml:space="preserve"> за подобряване на к</w:t>
      </w:r>
      <w:r w:rsidR="008966D6" w:rsidRPr="008966D6">
        <w:t>ачество и приложимост на професионалното образование и обучение (ПОО):</w:t>
      </w:r>
      <w:bookmarkEnd w:id="16"/>
    </w:p>
    <w:p w14:paraId="6D3FEA7C" w14:textId="77777777" w:rsidR="008966D6" w:rsidRPr="008966D6" w:rsidRDefault="008966D6" w:rsidP="00B655E7">
      <w:pPr>
        <w:numPr>
          <w:ilvl w:val="0"/>
          <w:numId w:val="28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Cs/>
          <w:iCs/>
          <w:szCs w:val="24"/>
        </w:rPr>
        <w:t xml:space="preserve">Одобрен е план за развитие на ПОО. </w:t>
      </w:r>
    </w:p>
    <w:p w14:paraId="48139719" w14:textId="77777777" w:rsidR="008966D6" w:rsidRPr="008966D6" w:rsidRDefault="008966D6" w:rsidP="00B655E7">
      <w:pPr>
        <w:numPr>
          <w:ilvl w:val="0"/>
          <w:numId w:val="28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Cs/>
          <w:iCs/>
          <w:szCs w:val="24"/>
        </w:rPr>
        <w:t xml:space="preserve">Всички учебни планове и програми се актуализират в сътрудничество с представители на бизнеса. </w:t>
      </w:r>
    </w:p>
    <w:p w14:paraId="32988442" w14:textId="6504F80A" w:rsidR="008966D6" w:rsidRPr="00766636" w:rsidRDefault="008966D6" w:rsidP="00B655E7">
      <w:pPr>
        <w:numPr>
          <w:ilvl w:val="0"/>
          <w:numId w:val="28"/>
        </w:numPr>
        <w:jc w:val="both"/>
        <w:rPr>
          <w:rFonts w:ascii="Calibri" w:hAnsi="Calibri" w:cs="Calibri"/>
          <w:bCs/>
          <w:iCs/>
          <w:szCs w:val="24"/>
        </w:rPr>
      </w:pPr>
      <w:r w:rsidRPr="008966D6">
        <w:rPr>
          <w:rFonts w:ascii="Calibri" w:hAnsi="Calibri" w:cs="Calibri"/>
          <w:bCs/>
          <w:iCs/>
          <w:szCs w:val="24"/>
        </w:rPr>
        <w:t xml:space="preserve">През 2016г. в България е въведена </w:t>
      </w:r>
      <w:proofErr w:type="spellStart"/>
      <w:r w:rsidRPr="008966D6">
        <w:rPr>
          <w:rFonts w:ascii="Calibri" w:hAnsi="Calibri" w:cs="Calibri"/>
          <w:bCs/>
          <w:iCs/>
          <w:szCs w:val="24"/>
        </w:rPr>
        <w:t>дуална</w:t>
      </w:r>
      <w:proofErr w:type="spellEnd"/>
      <w:r w:rsidRPr="008966D6">
        <w:rPr>
          <w:rFonts w:ascii="Calibri" w:hAnsi="Calibri" w:cs="Calibri"/>
          <w:bCs/>
          <w:iCs/>
          <w:szCs w:val="24"/>
        </w:rPr>
        <w:t xml:space="preserve"> система за ПОО, като чиракуването бе утвърдено като форма на практическо обучение. Изпълняват се пилотни проекти в сътрудничество с Швейцария, Германия и Австрия.</w:t>
      </w:r>
    </w:p>
    <w:p w14:paraId="0AAC86AE" w14:textId="69F0F9AC" w:rsidR="00D550A1" w:rsidRDefault="00D550A1" w:rsidP="00D550A1">
      <w:pPr>
        <w:ind w:left="1080"/>
        <w:rPr>
          <w:rFonts w:cstheme="minorHAnsi"/>
          <w:bCs/>
          <w:iCs/>
          <w:sz w:val="26"/>
          <w:szCs w:val="26"/>
        </w:rPr>
      </w:pPr>
    </w:p>
    <w:p w14:paraId="3F64D57E" w14:textId="11C45900" w:rsidR="00D10896" w:rsidRPr="00B655E7" w:rsidRDefault="00D10896" w:rsidP="00B655E7">
      <w:pPr>
        <w:pStyle w:val="Heading1"/>
      </w:pPr>
      <w:bookmarkStart w:id="17" w:name="_Toc26806455"/>
      <w:r w:rsidRPr="00B655E7">
        <w:t>ПР</w:t>
      </w:r>
      <w:r w:rsidR="005B6E11" w:rsidRPr="00B655E7">
        <w:t>ЕПОРЪКИ</w:t>
      </w:r>
      <w:bookmarkEnd w:id="17"/>
    </w:p>
    <w:p w14:paraId="349701BC" w14:textId="37CD7158" w:rsidR="00CB04C0" w:rsidRDefault="00CB04C0" w:rsidP="00CB04C0">
      <w:r>
        <w:t>Основани на аналите на европейския опит  и на предложенията на експертите присъствали на обсъжданията.</w:t>
      </w:r>
    </w:p>
    <w:p w14:paraId="5F8208CB" w14:textId="7DCA3334" w:rsidR="00B655E7" w:rsidRPr="00CB04C0" w:rsidRDefault="00B655E7" w:rsidP="002E0FD8">
      <w:pPr>
        <w:pStyle w:val="Heading2"/>
      </w:pPr>
      <w:bookmarkStart w:id="18" w:name="_Toc26806456"/>
      <w:r>
        <w:t xml:space="preserve">1. </w:t>
      </w:r>
      <w:r w:rsidR="002E0FD8">
        <w:t>Към ВУ</w:t>
      </w:r>
      <w:bookmarkEnd w:id="18"/>
    </w:p>
    <w:p w14:paraId="1A5F0730" w14:textId="69C4881D" w:rsidR="00D10896" w:rsidRPr="00766636" w:rsidRDefault="00215126" w:rsidP="007D4429">
      <w:pPr>
        <w:pStyle w:val="ListParagraph"/>
        <w:numPr>
          <w:ilvl w:val="0"/>
          <w:numId w:val="33"/>
        </w:numPr>
        <w:jc w:val="both"/>
        <w:rPr>
          <w:rFonts w:cstheme="minorHAnsi"/>
          <w:bCs/>
          <w:iCs/>
          <w:szCs w:val="24"/>
        </w:rPr>
      </w:pPr>
      <w:r w:rsidRPr="00766636">
        <w:rPr>
          <w:rFonts w:cstheme="minorHAnsi"/>
          <w:bCs/>
          <w:iCs/>
          <w:szCs w:val="24"/>
        </w:rPr>
        <w:t>В</w:t>
      </w:r>
      <w:r w:rsidR="00D10896" w:rsidRPr="00766636">
        <w:rPr>
          <w:rFonts w:cstheme="minorHAnsi"/>
          <w:bCs/>
          <w:iCs/>
          <w:szCs w:val="24"/>
        </w:rPr>
        <w:t>ъвеждане на практическо обучение и стаж в учебните планове и програми</w:t>
      </w:r>
      <w:r w:rsidR="00766636">
        <w:rPr>
          <w:rFonts w:cstheme="minorHAnsi"/>
          <w:bCs/>
          <w:iCs/>
          <w:szCs w:val="24"/>
        </w:rPr>
        <w:t>.</w:t>
      </w:r>
      <w:r w:rsidR="00D10896" w:rsidRPr="00766636">
        <w:rPr>
          <w:rFonts w:cstheme="minorHAnsi"/>
          <w:bCs/>
          <w:iCs/>
          <w:szCs w:val="24"/>
        </w:rPr>
        <w:t xml:space="preserve"> </w:t>
      </w:r>
    </w:p>
    <w:p w14:paraId="7A1AA069" w14:textId="1B9EA00C" w:rsidR="00D10896" w:rsidRDefault="00215126" w:rsidP="007D4429">
      <w:pPr>
        <w:pStyle w:val="ListParagraph"/>
        <w:numPr>
          <w:ilvl w:val="0"/>
          <w:numId w:val="33"/>
        </w:numPr>
        <w:jc w:val="both"/>
        <w:rPr>
          <w:rFonts w:cstheme="minorHAnsi"/>
          <w:bCs/>
          <w:iCs/>
          <w:szCs w:val="24"/>
        </w:rPr>
      </w:pPr>
      <w:r w:rsidRPr="00766636">
        <w:rPr>
          <w:rFonts w:cstheme="minorHAnsi"/>
          <w:bCs/>
          <w:iCs/>
          <w:szCs w:val="24"/>
        </w:rPr>
        <w:t>Ч</w:t>
      </w:r>
      <w:r w:rsidR="00D10896" w:rsidRPr="00766636">
        <w:rPr>
          <w:rFonts w:cstheme="minorHAnsi"/>
          <w:bCs/>
          <w:iCs/>
          <w:szCs w:val="24"/>
        </w:rPr>
        <w:t>аст от курсовите задачи, които са неделима част от обучението, да бъдат възложени от бизнеса и да са по теми необходими за работата му. Възлагането да се извършва чрез сключване на конкретен договор между университета и бизнес структурата</w:t>
      </w:r>
      <w:r w:rsidR="00766636">
        <w:rPr>
          <w:rFonts w:cstheme="minorHAnsi"/>
          <w:bCs/>
          <w:iCs/>
          <w:szCs w:val="24"/>
        </w:rPr>
        <w:t>.</w:t>
      </w:r>
      <w:r w:rsidR="00D10896" w:rsidRPr="00766636">
        <w:rPr>
          <w:rFonts w:cstheme="minorHAnsi"/>
          <w:bCs/>
          <w:iCs/>
          <w:szCs w:val="24"/>
        </w:rPr>
        <w:t xml:space="preserve"> </w:t>
      </w:r>
    </w:p>
    <w:p w14:paraId="2F6EAD40" w14:textId="21F4118D" w:rsidR="002E0FD8" w:rsidRPr="00766636" w:rsidRDefault="002E0FD8" w:rsidP="007D4429">
      <w:pPr>
        <w:pStyle w:val="ListParagraph"/>
        <w:numPr>
          <w:ilvl w:val="0"/>
          <w:numId w:val="33"/>
        </w:numPr>
        <w:jc w:val="both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>Активно привличане на бизнеса в съгласуването на програмите за обучение.</w:t>
      </w:r>
    </w:p>
    <w:p w14:paraId="6A88D8AC" w14:textId="1B451563" w:rsidR="00D10896" w:rsidRDefault="002E0FD8" w:rsidP="007D4429">
      <w:pPr>
        <w:pStyle w:val="ListParagraph"/>
        <w:numPr>
          <w:ilvl w:val="0"/>
          <w:numId w:val="33"/>
        </w:numPr>
        <w:jc w:val="both"/>
        <w:rPr>
          <w:rFonts w:cstheme="minorHAnsi"/>
          <w:bCs/>
          <w:iCs/>
          <w:szCs w:val="24"/>
        </w:rPr>
      </w:pPr>
      <w:r w:rsidRPr="00766636">
        <w:rPr>
          <w:rFonts w:cstheme="minorHAnsi"/>
          <w:bCs/>
          <w:iCs/>
          <w:szCs w:val="24"/>
        </w:rPr>
        <w:lastRenderedPageBreak/>
        <w:t>Активно участие на бизнеса в обучението, квалификацията на студентите, като една от формите е предоставяне на възможности за стажове</w:t>
      </w:r>
      <w:r>
        <w:rPr>
          <w:rFonts w:cstheme="minorHAnsi"/>
          <w:bCs/>
          <w:iCs/>
          <w:szCs w:val="24"/>
        </w:rPr>
        <w:t>.</w:t>
      </w:r>
    </w:p>
    <w:p w14:paraId="44523E85" w14:textId="572EEA08" w:rsidR="002E0FD8" w:rsidRPr="002E0FD8" w:rsidRDefault="002E0FD8" w:rsidP="002E0FD8">
      <w:pPr>
        <w:pStyle w:val="Heading2"/>
      </w:pPr>
      <w:bookmarkStart w:id="19" w:name="_Toc26806457"/>
      <w:r>
        <w:t>2. Към бизнеса</w:t>
      </w:r>
      <w:bookmarkEnd w:id="19"/>
    </w:p>
    <w:p w14:paraId="7B8EDB65" w14:textId="3DD5103F" w:rsidR="00D550A1" w:rsidRDefault="001A19CE" w:rsidP="007D4429">
      <w:pPr>
        <w:pStyle w:val="ListParagraph"/>
        <w:numPr>
          <w:ilvl w:val="0"/>
          <w:numId w:val="32"/>
        </w:numPr>
        <w:tabs>
          <w:tab w:val="left" w:pos="2127"/>
        </w:tabs>
        <w:jc w:val="both"/>
        <w:rPr>
          <w:rFonts w:cstheme="minorHAnsi"/>
          <w:bCs/>
          <w:iCs/>
          <w:szCs w:val="24"/>
        </w:rPr>
      </w:pPr>
      <w:r w:rsidRPr="00766636">
        <w:rPr>
          <w:rFonts w:cstheme="minorHAnsi"/>
          <w:bCs/>
          <w:iCs/>
          <w:szCs w:val="24"/>
        </w:rPr>
        <w:t xml:space="preserve">Диалогът </w:t>
      </w:r>
      <w:r w:rsidR="00D550A1" w:rsidRPr="00766636">
        <w:rPr>
          <w:rFonts w:cstheme="minorHAnsi"/>
          <w:bCs/>
          <w:iCs/>
          <w:szCs w:val="24"/>
        </w:rPr>
        <w:t xml:space="preserve"> на ВУ </w:t>
      </w:r>
      <w:r w:rsidR="00BA1F8B" w:rsidRPr="00766636">
        <w:rPr>
          <w:rFonts w:cstheme="minorHAnsi"/>
          <w:bCs/>
          <w:iCs/>
          <w:szCs w:val="24"/>
        </w:rPr>
        <w:t xml:space="preserve">с бизнеса </w:t>
      </w:r>
      <w:r w:rsidRPr="00766636">
        <w:rPr>
          <w:rFonts w:cstheme="minorHAnsi"/>
          <w:bCs/>
          <w:iCs/>
          <w:szCs w:val="24"/>
        </w:rPr>
        <w:t>да се води на секторно ниво</w:t>
      </w:r>
      <w:r w:rsidR="00BA1F8B" w:rsidRPr="00766636">
        <w:rPr>
          <w:rFonts w:cstheme="minorHAnsi"/>
          <w:bCs/>
          <w:iCs/>
          <w:szCs w:val="24"/>
        </w:rPr>
        <w:t xml:space="preserve">. </w:t>
      </w:r>
      <w:r w:rsidR="00D550A1" w:rsidRPr="00766636">
        <w:rPr>
          <w:rFonts w:cstheme="minorHAnsi"/>
          <w:b/>
          <w:iCs/>
          <w:szCs w:val="24"/>
        </w:rPr>
        <w:t>Задача</w:t>
      </w:r>
      <w:r w:rsidR="00BA1F8B" w:rsidRPr="00766636">
        <w:rPr>
          <w:rFonts w:cstheme="minorHAnsi"/>
          <w:b/>
          <w:iCs/>
          <w:szCs w:val="24"/>
        </w:rPr>
        <w:t xml:space="preserve"> на браншовите </w:t>
      </w:r>
      <w:r w:rsidR="00D550A1" w:rsidRPr="00766636">
        <w:rPr>
          <w:rFonts w:cstheme="minorHAnsi"/>
          <w:b/>
          <w:iCs/>
          <w:szCs w:val="24"/>
        </w:rPr>
        <w:t xml:space="preserve">бизнес </w:t>
      </w:r>
      <w:r w:rsidR="00BA1F8B" w:rsidRPr="00766636">
        <w:rPr>
          <w:rFonts w:cstheme="minorHAnsi"/>
          <w:b/>
          <w:iCs/>
          <w:szCs w:val="24"/>
        </w:rPr>
        <w:t xml:space="preserve">организации е </w:t>
      </w:r>
      <w:r w:rsidR="00A23C51" w:rsidRPr="00766636">
        <w:rPr>
          <w:rFonts w:cstheme="minorHAnsi"/>
          <w:b/>
          <w:iCs/>
          <w:szCs w:val="24"/>
        </w:rPr>
        <w:t>да реагират</w:t>
      </w:r>
      <w:r w:rsidRPr="00766636">
        <w:rPr>
          <w:rFonts w:cstheme="minorHAnsi"/>
          <w:b/>
          <w:bCs/>
          <w:iCs/>
          <w:szCs w:val="24"/>
        </w:rPr>
        <w:t xml:space="preserve"> на потребностите на пазара на труда </w:t>
      </w:r>
      <w:r w:rsidR="00220C98" w:rsidRPr="00766636">
        <w:rPr>
          <w:rFonts w:cstheme="minorHAnsi"/>
          <w:b/>
          <w:bCs/>
          <w:iCs/>
          <w:szCs w:val="24"/>
        </w:rPr>
        <w:t xml:space="preserve">като </w:t>
      </w:r>
      <w:r w:rsidR="00C52389" w:rsidRPr="00766636">
        <w:rPr>
          <w:rFonts w:cstheme="minorHAnsi"/>
          <w:b/>
          <w:bCs/>
          <w:iCs/>
          <w:szCs w:val="24"/>
        </w:rPr>
        <w:t xml:space="preserve">следят и </w:t>
      </w:r>
      <w:r w:rsidRPr="00766636">
        <w:rPr>
          <w:rFonts w:cstheme="minorHAnsi"/>
          <w:b/>
          <w:bCs/>
          <w:iCs/>
          <w:szCs w:val="24"/>
        </w:rPr>
        <w:t>отчитат</w:t>
      </w:r>
      <w:r w:rsidR="00D550A1" w:rsidRPr="00766636">
        <w:rPr>
          <w:rFonts w:cstheme="minorHAnsi"/>
          <w:b/>
          <w:bCs/>
          <w:iCs/>
          <w:szCs w:val="24"/>
        </w:rPr>
        <w:t xml:space="preserve"> </w:t>
      </w:r>
      <w:r w:rsidR="005B6E11" w:rsidRPr="00766636">
        <w:rPr>
          <w:rFonts w:cstheme="minorHAnsi"/>
          <w:bCs/>
          <w:iCs/>
          <w:szCs w:val="24"/>
        </w:rPr>
        <w:t>п</w:t>
      </w:r>
      <w:r w:rsidRPr="00766636">
        <w:rPr>
          <w:rFonts w:cstheme="minorHAnsi"/>
          <w:bCs/>
          <w:iCs/>
          <w:szCs w:val="24"/>
        </w:rPr>
        <w:t>рогнозите за пазара на труда</w:t>
      </w:r>
      <w:r w:rsidR="00D550A1" w:rsidRPr="00766636">
        <w:rPr>
          <w:rFonts w:cstheme="minorHAnsi"/>
          <w:bCs/>
          <w:iCs/>
          <w:szCs w:val="24"/>
        </w:rPr>
        <w:t xml:space="preserve">, </w:t>
      </w:r>
      <w:r w:rsidR="005B6E11" w:rsidRPr="00766636">
        <w:rPr>
          <w:rFonts w:cstheme="minorHAnsi"/>
          <w:bCs/>
          <w:iCs/>
          <w:szCs w:val="24"/>
        </w:rPr>
        <w:t>с</w:t>
      </w:r>
      <w:r w:rsidRPr="00766636">
        <w:rPr>
          <w:rFonts w:cstheme="minorHAnsi"/>
          <w:bCs/>
          <w:iCs/>
          <w:szCs w:val="24"/>
        </w:rPr>
        <w:t>тановището на работодателите и работодателските организации</w:t>
      </w:r>
      <w:r w:rsidR="00D550A1" w:rsidRPr="00766636">
        <w:rPr>
          <w:rFonts w:cstheme="minorHAnsi"/>
          <w:bCs/>
          <w:iCs/>
          <w:szCs w:val="24"/>
        </w:rPr>
        <w:t xml:space="preserve"> и разпространяват тази информация до всички целеви групи.</w:t>
      </w:r>
    </w:p>
    <w:p w14:paraId="31DD0479" w14:textId="13FDDDC6" w:rsidR="002E0FD8" w:rsidRDefault="002E0FD8" w:rsidP="007D4429">
      <w:pPr>
        <w:pStyle w:val="ListParagraph"/>
        <w:numPr>
          <w:ilvl w:val="0"/>
          <w:numId w:val="32"/>
        </w:numPr>
        <w:tabs>
          <w:tab w:val="left" w:pos="2127"/>
        </w:tabs>
        <w:jc w:val="both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 xml:space="preserve">Готовност за организиране на студентски стажове. </w:t>
      </w:r>
    </w:p>
    <w:p w14:paraId="0D31ADA7" w14:textId="7E99F555" w:rsidR="002E0FD8" w:rsidRPr="00766636" w:rsidRDefault="002E0FD8" w:rsidP="007D4429">
      <w:pPr>
        <w:pStyle w:val="ListParagraph"/>
        <w:numPr>
          <w:ilvl w:val="0"/>
          <w:numId w:val="32"/>
        </w:numPr>
        <w:tabs>
          <w:tab w:val="left" w:pos="2127"/>
        </w:tabs>
        <w:jc w:val="both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>Готовност за предоставяне на стипендии</w:t>
      </w:r>
    </w:p>
    <w:p w14:paraId="1FCDF4DC" w14:textId="461A7901" w:rsidR="002E0FD8" w:rsidRDefault="002E0FD8" w:rsidP="002E0FD8">
      <w:pPr>
        <w:pStyle w:val="Heading2"/>
      </w:pPr>
      <w:bookmarkStart w:id="20" w:name="_Toc26806458"/>
      <w:r>
        <w:t xml:space="preserve">3. Общи: бизнес-ВУ- </w:t>
      </w:r>
      <w:r w:rsidRPr="002E0FD8">
        <w:t>политико-правещите органи</w:t>
      </w:r>
      <w:bookmarkEnd w:id="20"/>
    </w:p>
    <w:p w14:paraId="63000913" w14:textId="0F9803F1" w:rsidR="00DF70C3" w:rsidRPr="007D4429" w:rsidRDefault="002E0FD8" w:rsidP="007D4429">
      <w:pPr>
        <w:pStyle w:val="ListParagraph"/>
        <w:numPr>
          <w:ilvl w:val="0"/>
          <w:numId w:val="37"/>
        </w:numPr>
        <w:jc w:val="both"/>
        <w:rPr>
          <w:rFonts w:cstheme="minorHAnsi"/>
          <w:bCs/>
          <w:iCs/>
          <w:szCs w:val="24"/>
        </w:rPr>
      </w:pPr>
      <w:r w:rsidRPr="007D4429">
        <w:rPr>
          <w:rFonts w:cstheme="minorHAnsi"/>
          <w:b/>
          <w:iCs/>
          <w:szCs w:val="24"/>
        </w:rPr>
        <w:t>Въвеждане на преки и непреки стимули</w:t>
      </w:r>
      <w:r w:rsidRPr="007D4429">
        <w:rPr>
          <w:rFonts w:cstheme="minorHAnsi"/>
          <w:bCs/>
          <w:iCs/>
          <w:szCs w:val="24"/>
        </w:rPr>
        <w:t xml:space="preserve"> и/или други преференции за ВУ и работодателите, активно прилагащи стажовете, като елемент на процеса на обучение: </w:t>
      </w:r>
    </w:p>
    <w:p w14:paraId="136910C5" w14:textId="12207B50" w:rsidR="00DF70C3" w:rsidRPr="007D4429" w:rsidRDefault="002E0FD8" w:rsidP="007D4429">
      <w:pPr>
        <w:pStyle w:val="ListParagraph"/>
        <w:numPr>
          <w:ilvl w:val="0"/>
          <w:numId w:val="37"/>
        </w:numPr>
        <w:jc w:val="both"/>
        <w:rPr>
          <w:rFonts w:cstheme="minorHAnsi"/>
          <w:bCs/>
          <w:iCs/>
          <w:szCs w:val="24"/>
        </w:rPr>
      </w:pPr>
      <w:r w:rsidRPr="007D4429">
        <w:rPr>
          <w:rFonts w:cstheme="minorHAnsi"/>
          <w:bCs/>
          <w:iCs/>
          <w:szCs w:val="24"/>
        </w:rPr>
        <w:t>А</w:t>
      </w:r>
      <w:r w:rsidR="001A19CE" w:rsidRPr="007D4429">
        <w:rPr>
          <w:rFonts w:cstheme="minorHAnsi"/>
          <w:bCs/>
          <w:iCs/>
          <w:szCs w:val="24"/>
        </w:rPr>
        <w:t xml:space="preserve">декватно </w:t>
      </w:r>
      <w:r w:rsidRPr="007D4429">
        <w:rPr>
          <w:rFonts w:cstheme="minorHAnsi"/>
          <w:bCs/>
          <w:iCs/>
          <w:szCs w:val="24"/>
        </w:rPr>
        <w:t>планиране</w:t>
      </w:r>
      <w:r w:rsidR="001A19CE" w:rsidRPr="007D4429">
        <w:rPr>
          <w:rFonts w:cstheme="minorHAnsi"/>
          <w:b/>
          <w:bCs/>
          <w:iCs/>
          <w:szCs w:val="24"/>
        </w:rPr>
        <w:t xml:space="preserve"> приема на студенти</w:t>
      </w:r>
      <w:r w:rsidR="00D550A1" w:rsidRPr="007D4429">
        <w:rPr>
          <w:rFonts w:cstheme="minorHAnsi"/>
          <w:bCs/>
          <w:iCs/>
          <w:szCs w:val="24"/>
        </w:rPr>
        <w:t xml:space="preserve"> въз основа</w:t>
      </w:r>
      <w:r w:rsidR="00BA1F8B" w:rsidRPr="007D4429">
        <w:rPr>
          <w:rFonts w:cstheme="minorHAnsi"/>
          <w:bCs/>
          <w:iCs/>
          <w:szCs w:val="24"/>
        </w:rPr>
        <w:t xml:space="preserve"> на адекватни прогнози за развитието </w:t>
      </w:r>
      <w:r w:rsidR="005B6E11" w:rsidRPr="007D4429">
        <w:rPr>
          <w:rFonts w:cstheme="minorHAnsi"/>
          <w:bCs/>
          <w:iCs/>
          <w:szCs w:val="24"/>
        </w:rPr>
        <w:t>на пазара на труда</w:t>
      </w:r>
      <w:r w:rsidR="00766636" w:rsidRPr="007D4429">
        <w:rPr>
          <w:rFonts w:cstheme="minorHAnsi"/>
          <w:bCs/>
          <w:iCs/>
          <w:szCs w:val="24"/>
        </w:rPr>
        <w:t>.</w:t>
      </w:r>
    </w:p>
    <w:p w14:paraId="40B51A80" w14:textId="66AA1C66" w:rsidR="000277DB" w:rsidRPr="007D4429" w:rsidRDefault="002E0FD8" w:rsidP="007D4429">
      <w:pPr>
        <w:pStyle w:val="ListParagraph"/>
        <w:numPr>
          <w:ilvl w:val="0"/>
          <w:numId w:val="37"/>
        </w:numPr>
        <w:jc w:val="both"/>
        <w:rPr>
          <w:rFonts w:cstheme="minorHAnsi"/>
          <w:bCs/>
          <w:iCs/>
          <w:szCs w:val="24"/>
        </w:rPr>
      </w:pPr>
      <w:r w:rsidRPr="007D4429">
        <w:rPr>
          <w:rFonts w:cstheme="minorHAnsi"/>
          <w:b/>
          <w:iCs/>
          <w:szCs w:val="24"/>
        </w:rPr>
        <w:t>Анализиране и осмисляне на</w:t>
      </w:r>
      <w:r w:rsidR="001A19CE" w:rsidRPr="007D4429">
        <w:rPr>
          <w:rFonts w:cstheme="minorHAnsi"/>
          <w:b/>
          <w:iCs/>
          <w:szCs w:val="24"/>
        </w:rPr>
        <w:t xml:space="preserve"> мненията</w:t>
      </w:r>
      <w:r w:rsidR="001A19CE" w:rsidRPr="007D4429">
        <w:rPr>
          <w:rFonts w:cstheme="minorHAnsi"/>
          <w:bCs/>
          <w:iCs/>
          <w:szCs w:val="24"/>
        </w:rPr>
        <w:t xml:space="preserve">, </w:t>
      </w:r>
      <w:r w:rsidR="001A19CE" w:rsidRPr="007D4429">
        <w:rPr>
          <w:rFonts w:cstheme="minorHAnsi"/>
          <w:b/>
          <w:iCs/>
          <w:szCs w:val="24"/>
        </w:rPr>
        <w:t>предложенията</w:t>
      </w:r>
      <w:r w:rsidR="001A19CE" w:rsidRPr="007D4429">
        <w:rPr>
          <w:rFonts w:cstheme="minorHAnsi"/>
          <w:bCs/>
          <w:iCs/>
          <w:szCs w:val="24"/>
        </w:rPr>
        <w:t xml:space="preserve"> </w:t>
      </w:r>
      <w:r w:rsidR="001A19CE" w:rsidRPr="007D4429">
        <w:rPr>
          <w:rFonts w:cstheme="minorHAnsi"/>
          <w:b/>
          <w:bCs/>
          <w:iCs/>
          <w:szCs w:val="24"/>
        </w:rPr>
        <w:t>и становищата на работодателските организации</w:t>
      </w:r>
      <w:r w:rsidR="00BA1F8B" w:rsidRPr="007D4429">
        <w:rPr>
          <w:rFonts w:cstheme="minorHAnsi"/>
          <w:bCs/>
          <w:iCs/>
          <w:szCs w:val="24"/>
        </w:rPr>
        <w:t>.</w:t>
      </w:r>
    </w:p>
    <w:p w14:paraId="1FF1260A" w14:textId="4D212FA0" w:rsidR="000277DB" w:rsidRPr="007D4429" w:rsidRDefault="002E0FD8" w:rsidP="007D4429">
      <w:pPr>
        <w:pStyle w:val="ListParagraph"/>
        <w:numPr>
          <w:ilvl w:val="0"/>
          <w:numId w:val="37"/>
        </w:numPr>
        <w:jc w:val="both"/>
        <w:rPr>
          <w:rFonts w:cstheme="minorHAnsi"/>
          <w:bCs/>
          <w:iCs/>
          <w:szCs w:val="24"/>
        </w:rPr>
      </w:pPr>
      <w:r w:rsidRPr="007D4429">
        <w:rPr>
          <w:rFonts w:cstheme="minorHAnsi"/>
          <w:b/>
          <w:iCs/>
          <w:szCs w:val="24"/>
        </w:rPr>
        <w:t>Създаване на</w:t>
      </w:r>
      <w:r w:rsidR="000277DB" w:rsidRPr="007D4429">
        <w:rPr>
          <w:rFonts w:cstheme="minorHAnsi"/>
          <w:b/>
          <w:iCs/>
          <w:szCs w:val="24"/>
        </w:rPr>
        <w:t xml:space="preserve"> проучвателен механизъм за прогнози за пазара на труда. </w:t>
      </w:r>
      <w:r w:rsidR="000277DB" w:rsidRPr="007D4429">
        <w:rPr>
          <w:rFonts w:cstheme="minorHAnsi"/>
          <w:bCs/>
          <w:iCs/>
          <w:szCs w:val="24"/>
        </w:rPr>
        <w:t>На базата на дефиниран брой индикатори от списъка с критерии за реализация на труда от рейтинговата система, работодателските организации заедно с висшите училища, могат да направят полезни анализи. Могат да се анализират трендовете на безработицата, вида осигуряване, регионалната з</w:t>
      </w:r>
      <w:r w:rsidR="005B6E11" w:rsidRPr="007D4429">
        <w:rPr>
          <w:rFonts w:cstheme="minorHAnsi"/>
          <w:bCs/>
          <w:iCs/>
          <w:szCs w:val="24"/>
        </w:rPr>
        <w:t>начимост на отделната професия</w:t>
      </w:r>
      <w:r w:rsidR="00D550A1" w:rsidRPr="007D4429">
        <w:rPr>
          <w:rFonts w:cstheme="minorHAnsi"/>
          <w:bCs/>
          <w:iCs/>
          <w:szCs w:val="24"/>
        </w:rPr>
        <w:t>.</w:t>
      </w:r>
    </w:p>
    <w:p w14:paraId="284B8678" w14:textId="29CB19E6" w:rsidR="00766636" w:rsidRPr="007D4429" w:rsidRDefault="00766636" w:rsidP="007D4429">
      <w:pPr>
        <w:pStyle w:val="ListParagraph"/>
        <w:numPr>
          <w:ilvl w:val="0"/>
          <w:numId w:val="37"/>
        </w:numPr>
        <w:jc w:val="both"/>
        <w:rPr>
          <w:rFonts w:cstheme="minorHAnsi"/>
          <w:iCs/>
          <w:szCs w:val="24"/>
        </w:rPr>
      </w:pPr>
      <w:r w:rsidRPr="007D4429">
        <w:rPr>
          <w:rFonts w:cstheme="minorHAnsi"/>
          <w:b/>
          <w:bCs/>
          <w:iCs/>
          <w:szCs w:val="24"/>
        </w:rPr>
        <w:t>Да се коригира на националния списък от професии</w:t>
      </w:r>
      <w:r w:rsidRPr="007D4429">
        <w:rPr>
          <w:rFonts w:cstheme="minorHAnsi"/>
          <w:iCs/>
          <w:szCs w:val="24"/>
        </w:rPr>
        <w:t xml:space="preserve"> спрямо изискванията на икономиката в националната квалификационна рамка.</w:t>
      </w:r>
    </w:p>
    <w:p w14:paraId="747265E8" w14:textId="7C57BE3F" w:rsidR="00766636" w:rsidRPr="007D4429" w:rsidRDefault="00766636" w:rsidP="007D4429">
      <w:pPr>
        <w:pStyle w:val="ListParagraph"/>
        <w:numPr>
          <w:ilvl w:val="0"/>
          <w:numId w:val="37"/>
        </w:numPr>
        <w:jc w:val="both"/>
        <w:rPr>
          <w:rFonts w:cstheme="minorHAnsi"/>
          <w:iCs/>
          <w:szCs w:val="24"/>
        </w:rPr>
      </w:pPr>
      <w:r w:rsidRPr="007D4429">
        <w:rPr>
          <w:rFonts w:cstheme="minorHAnsi"/>
          <w:b/>
          <w:bCs/>
          <w:iCs/>
          <w:szCs w:val="24"/>
        </w:rPr>
        <w:t xml:space="preserve">Да се създаде модел и инструменти за свързване на предлагането и търсенето на умения и квалификации </w:t>
      </w:r>
      <w:r w:rsidRPr="007D4429">
        <w:rPr>
          <w:rFonts w:cstheme="minorHAnsi"/>
          <w:iCs/>
          <w:szCs w:val="24"/>
        </w:rPr>
        <w:t>на базата на сътрудничество с Европейския център за развитие на професионалното обучение (</w:t>
      </w:r>
      <w:proofErr w:type="spellStart"/>
      <w:r w:rsidRPr="007D4429">
        <w:rPr>
          <w:rFonts w:cstheme="minorHAnsi"/>
          <w:iCs/>
          <w:szCs w:val="24"/>
        </w:rPr>
        <w:t>Cedefop</w:t>
      </w:r>
      <w:proofErr w:type="spellEnd"/>
      <w:r w:rsidRPr="007D4429">
        <w:rPr>
          <w:rFonts w:cstheme="minorHAnsi"/>
          <w:iCs/>
          <w:szCs w:val="24"/>
        </w:rPr>
        <w:t>) от 2017г.</w:t>
      </w:r>
    </w:p>
    <w:p w14:paraId="638308C4" w14:textId="2018F671" w:rsidR="00766636" w:rsidRPr="007D4429" w:rsidRDefault="00766636" w:rsidP="007D4429">
      <w:pPr>
        <w:pStyle w:val="ListParagraph"/>
        <w:numPr>
          <w:ilvl w:val="0"/>
          <w:numId w:val="37"/>
        </w:numPr>
        <w:jc w:val="both"/>
        <w:rPr>
          <w:rFonts w:cstheme="minorHAnsi"/>
          <w:bCs/>
          <w:iCs/>
          <w:szCs w:val="24"/>
        </w:rPr>
      </w:pPr>
      <w:r w:rsidRPr="007D4429">
        <w:rPr>
          <w:rFonts w:cstheme="minorHAnsi"/>
          <w:b/>
          <w:bCs/>
          <w:iCs/>
          <w:szCs w:val="24"/>
        </w:rPr>
        <w:t>Да се разработят секторни модели за компетентности, програми за електронно обучение и модули за оценка на потребностите от обучение</w:t>
      </w:r>
      <w:r w:rsidRPr="007D4429">
        <w:rPr>
          <w:rFonts w:cstheme="minorHAnsi"/>
          <w:iCs/>
          <w:szCs w:val="24"/>
        </w:rPr>
        <w:t xml:space="preserve"> на служителите на базата на проект „Разработване на национална система за оценка на компетентностите - моята компетентност“, финансиран от Европейския социален фонд. </w:t>
      </w:r>
    </w:p>
    <w:sectPr w:rsidR="00766636" w:rsidRPr="007D4429" w:rsidSect="00766636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440" w:bottom="1440" w:left="144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B043" w14:textId="77777777" w:rsidR="00AA3130" w:rsidRDefault="00AA3130" w:rsidP="00E5728A">
      <w:pPr>
        <w:spacing w:after="0" w:line="240" w:lineRule="auto"/>
      </w:pPr>
      <w:r>
        <w:separator/>
      </w:r>
    </w:p>
  </w:endnote>
  <w:endnote w:type="continuationSeparator" w:id="0">
    <w:p w14:paraId="33AACF30" w14:textId="77777777" w:rsidR="00AA3130" w:rsidRDefault="00AA3130" w:rsidP="00E5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12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9397" w14:textId="052EC211" w:rsidR="00BE1375" w:rsidRDefault="00BE1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B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60F3906" w14:textId="77777777" w:rsidR="00BE1375" w:rsidRDefault="00BE1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6ACF" w14:textId="6B390991" w:rsidR="00476DC6" w:rsidRPr="00476DC6" w:rsidRDefault="002B4360" w:rsidP="00476DC6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 w:cs="Times New Roman"/>
        <w:i/>
        <w:sz w:val="14"/>
        <w:szCs w:val="14"/>
      </w:rPr>
    </w:pPr>
    <w:r>
      <w:rPr>
        <w:rFonts w:ascii="Cambria" w:eastAsia="Times New Roman" w:hAnsi="Cambria" w:cs="Times New Roman"/>
        <w:i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10FED" wp14:editId="1E562E40">
              <wp:simplePos x="0" y="0"/>
              <wp:positionH relativeFrom="column">
                <wp:posOffset>-262890</wp:posOffset>
              </wp:positionH>
              <wp:positionV relativeFrom="paragraph">
                <wp:posOffset>635</wp:posOffset>
              </wp:positionV>
              <wp:extent cx="6677025" cy="0"/>
              <wp:effectExtent l="13335" t="10160" r="15240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590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0.7pt;margin-top:.05pt;width:5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" strokecolor="#4472c4 [3204]" strokeweight="1.25pt"/>
          </w:pict>
        </mc:Fallback>
      </mc:AlternateContent>
    </w:r>
    <w:r>
      <w:rPr>
        <w:rFonts w:ascii="Cambria" w:eastAsia="Times New Roman" w:hAnsi="Cambria" w:cs="Times New Roman"/>
        <w:i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85490" wp14:editId="465F3081">
              <wp:simplePos x="0" y="0"/>
              <wp:positionH relativeFrom="column">
                <wp:posOffset>-262890</wp:posOffset>
              </wp:positionH>
              <wp:positionV relativeFrom="paragraph">
                <wp:posOffset>-8890</wp:posOffset>
              </wp:positionV>
              <wp:extent cx="6677025" cy="9525"/>
              <wp:effectExtent l="13335" t="10160" r="571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70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45224" id="AutoShape 2" o:spid="_x0000_s1026" type="#_x0000_t32" style="position:absolute;margin-left:-20.7pt;margin-top:-.7pt;width:525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"/>
          </w:pict>
        </mc:Fallback>
      </mc:AlternateContent>
    </w:r>
    <w:r w:rsidR="00476DC6" w:rsidRPr="00476DC6">
      <w:rPr>
        <w:rFonts w:ascii="Cambria" w:eastAsia="Times New Roman" w:hAnsi="Cambria" w:cs="Times New Roman"/>
        <w:i/>
        <w:sz w:val="14"/>
        <w:szCs w:val="14"/>
      </w:rPr>
      <w:t xml:space="preserve">----------------------- </w:t>
    </w:r>
    <w:hyperlink r:id="rId1" w:history="1">
      <w:r w:rsidR="00476DC6" w:rsidRPr="00476DC6">
        <w:rPr>
          <w:rFonts w:ascii="Cambria" w:eastAsia="Times New Roman" w:hAnsi="Cambria" w:cs="Times New Roman"/>
          <w:i/>
          <w:color w:val="0000FF"/>
          <w:sz w:val="14"/>
          <w:szCs w:val="14"/>
          <w:u w:val="single"/>
          <w:lang w:val="en-US"/>
        </w:rPr>
        <w:t>www.eufunds.bg</w:t>
      </w:r>
    </w:hyperlink>
    <w:r w:rsidR="00476DC6" w:rsidRPr="00476DC6">
      <w:rPr>
        <w:rFonts w:ascii="Cambria" w:eastAsia="Times New Roman" w:hAnsi="Cambria" w:cs="Times New Roman"/>
        <w:i/>
        <w:sz w:val="14"/>
        <w:szCs w:val="14"/>
        <w:lang w:val="en-US"/>
      </w:rPr>
      <w:t xml:space="preserve"> ----------------------</w:t>
    </w:r>
  </w:p>
  <w:p w14:paraId="0FC96E61" w14:textId="77777777" w:rsidR="00476DC6" w:rsidRPr="00476DC6" w:rsidRDefault="00476DC6" w:rsidP="00476DC6">
    <w:pPr>
      <w:tabs>
        <w:tab w:val="center" w:pos="4153"/>
        <w:tab w:val="right" w:pos="8306"/>
      </w:tabs>
      <w:spacing w:after="0" w:line="192" w:lineRule="auto"/>
      <w:rPr>
        <w:rFonts w:ascii="Cambria" w:eastAsia="Times New Roman" w:hAnsi="Cambria" w:cs="Times New Roman"/>
        <w:i/>
        <w:sz w:val="14"/>
        <w:szCs w:val="14"/>
      </w:rPr>
    </w:pPr>
  </w:p>
  <w:p w14:paraId="3D9C3749" w14:textId="77777777" w:rsidR="00476DC6" w:rsidRPr="00476DC6" w:rsidRDefault="00476DC6" w:rsidP="00476DC6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 w:cs="Times New Roman"/>
        <w:i/>
        <w:sz w:val="18"/>
        <w:szCs w:val="18"/>
      </w:rPr>
    </w:pPr>
    <w:r w:rsidRPr="00476DC6">
      <w:rPr>
        <w:rFonts w:ascii="Cambria" w:eastAsia="Times New Roman" w:hAnsi="Cambria" w:cs="Times New Roman"/>
        <w:i/>
        <w:sz w:val="18"/>
        <w:szCs w:val="18"/>
      </w:rPr>
      <w:t xml:space="preserve">Проектът се финансира в рамките на договор за БФП № BG05SFOP001-2.009-0036–C01/21.12.2018 г. „Усъвършенстване на механизма за гражданско участие при формулирането и провеждането на политиката  в областта на висшето образование в България“ на Сдружение ЦИА, финансиран от Оперативна програма  </w:t>
    </w:r>
  </w:p>
  <w:p w14:paraId="2D01C044" w14:textId="77777777" w:rsidR="00476DC6" w:rsidRPr="00476DC6" w:rsidRDefault="00476DC6" w:rsidP="00476DC6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 w:cs="Times New Roman"/>
        <w:i/>
        <w:sz w:val="14"/>
        <w:szCs w:val="14"/>
        <w:lang w:val="en-US"/>
      </w:rPr>
    </w:pPr>
    <w:r w:rsidRPr="00476DC6">
      <w:rPr>
        <w:rFonts w:ascii="Cambria" w:eastAsia="Times New Roman" w:hAnsi="Cambria" w:cs="Times New Roman"/>
        <w:i/>
        <w:sz w:val="18"/>
        <w:szCs w:val="18"/>
      </w:rPr>
      <w:t xml:space="preserve">  „Добро управление“, съфинансирана от Европейския съюз чрез Европейския социален фонд</w:t>
    </w:r>
  </w:p>
  <w:p w14:paraId="3739B4E4" w14:textId="77777777" w:rsidR="00476DC6" w:rsidRPr="00476DC6" w:rsidRDefault="00476DC6" w:rsidP="00476DC6">
    <w:pPr>
      <w:tabs>
        <w:tab w:val="center" w:pos="4703"/>
        <w:tab w:val="right" w:pos="9406"/>
      </w:tabs>
      <w:spacing w:after="0" w:line="240" w:lineRule="auto"/>
      <w:rPr>
        <w:rFonts w:ascii="HebarU" w:eastAsia="Times New Roman" w:hAnsi="HebarU" w:cs="Times New Roman"/>
        <w:szCs w:val="20"/>
      </w:rPr>
    </w:pPr>
  </w:p>
  <w:p w14:paraId="3BDD4D8B" w14:textId="77777777" w:rsidR="00046636" w:rsidRPr="00476DC6" w:rsidRDefault="00046636" w:rsidP="00476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8195D" w14:textId="77777777" w:rsidR="00AA3130" w:rsidRDefault="00AA3130" w:rsidP="00E5728A">
      <w:pPr>
        <w:spacing w:after="0" w:line="240" w:lineRule="auto"/>
      </w:pPr>
      <w:r>
        <w:separator/>
      </w:r>
    </w:p>
  </w:footnote>
  <w:footnote w:type="continuationSeparator" w:id="0">
    <w:p w14:paraId="35A734A5" w14:textId="77777777" w:rsidR="00AA3130" w:rsidRDefault="00AA3130" w:rsidP="00E5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3CC4" w14:textId="1539102A" w:rsidR="004B58BB" w:rsidRPr="005801DB" w:rsidRDefault="002B4360" w:rsidP="00B3163B">
    <w:pPr>
      <w:pStyle w:val="Header"/>
      <w:rPr>
        <w:lang w:val="en-GB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79AB5" wp14:editId="0B8C0218">
              <wp:simplePos x="0" y="0"/>
              <wp:positionH relativeFrom="column">
                <wp:posOffset>-262890</wp:posOffset>
              </wp:positionH>
              <wp:positionV relativeFrom="paragraph">
                <wp:posOffset>1597025</wp:posOffset>
              </wp:positionV>
              <wp:extent cx="6677025" cy="9525"/>
              <wp:effectExtent l="13335" t="15875" r="15240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7025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58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7pt;margin-top:125.75pt;width:525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" strokecolor="#4472c4 [3204]" strokeweight="2pt"/>
          </w:pict>
        </mc:Fallback>
      </mc:AlternateContent>
    </w:r>
    <w:r w:rsidR="004B58BB">
      <w:rPr>
        <w:noProof/>
      </w:rPr>
      <w:ptab w:relativeTo="margin" w:alignment="left" w:leader="none"/>
    </w:r>
    <w:r w:rsidR="004B58BB">
      <w:rPr>
        <w:noProof/>
      </w:rPr>
      <w:ptab w:relativeTo="margin" w:alignment="left" w:leader="none"/>
    </w:r>
    <w:r w:rsidR="004B58BB">
      <w:rPr>
        <w:lang w:val="en-GB"/>
      </w:rPr>
      <w:t xml:space="preserve">                                           </w:t>
    </w:r>
    <w:r w:rsidR="00476DC6" w:rsidRPr="00476DC6">
      <w:rPr>
        <w:noProof/>
        <w:lang w:eastAsia="bg-BG"/>
      </w:rPr>
      <w:drawing>
        <wp:inline distT="0" distB="0" distL="0" distR="0" wp14:anchorId="1A4D758B" wp14:editId="28A303BB">
          <wp:extent cx="6715500" cy="14097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5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E54D5"/>
    <w:multiLevelType w:val="hybridMultilevel"/>
    <w:tmpl w:val="ED2EA556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A2E32"/>
    <w:multiLevelType w:val="hybridMultilevel"/>
    <w:tmpl w:val="C1C65E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271C7C"/>
    <w:multiLevelType w:val="hybridMultilevel"/>
    <w:tmpl w:val="F81CD082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" w15:restartNumberingAfterBreak="0">
    <w:nsid w:val="05FA7ED2"/>
    <w:multiLevelType w:val="hybridMultilevel"/>
    <w:tmpl w:val="161EECDE"/>
    <w:lvl w:ilvl="0" w:tplc="08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0613419C"/>
    <w:multiLevelType w:val="hybridMultilevel"/>
    <w:tmpl w:val="6200176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42353"/>
    <w:multiLevelType w:val="hybridMultilevel"/>
    <w:tmpl w:val="A3CE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2A5F"/>
    <w:multiLevelType w:val="hybridMultilevel"/>
    <w:tmpl w:val="7F8A5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8AA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5195"/>
    <w:multiLevelType w:val="hybridMultilevel"/>
    <w:tmpl w:val="9C249472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8" w15:restartNumberingAfterBreak="0">
    <w:nsid w:val="19FF7AA5"/>
    <w:multiLevelType w:val="hybridMultilevel"/>
    <w:tmpl w:val="DDB639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91EDD"/>
    <w:multiLevelType w:val="hybridMultilevel"/>
    <w:tmpl w:val="05689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85D6A"/>
    <w:multiLevelType w:val="hybridMultilevel"/>
    <w:tmpl w:val="CD920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08A6"/>
    <w:multiLevelType w:val="hybridMultilevel"/>
    <w:tmpl w:val="283CF85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E5F1B"/>
    <w:multiLevelType w:val="hybridMultilevel"/>
    <w:tmpl w:val="8F60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8AA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3DA0"/>
    <w:multiLevelType w:val="hybridMultilevel"/>
    <w:tmpl w:val="BF2ED6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3990"/>
    <w:multiLevelType w:val="hybridMultilevel"/>
    <w:tmpl w:val="DB1AED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C791C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A4666"/>
    <w:multiLevelType w:val="hybridMultilevel"/>
    <w:tmpl w:val="EA5E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7C58"/>
    <w:multiLevelType w:val="hybridMultilevel"/>
    <w:tmpl w:val="B17B6E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0C48C9"/>
    <w:multiLevelType w:val="hybridMultilevel"/>
    <w:tmpl w:val="0C44016A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7586231"/>
    <w:multiLevelType w:val="hybridMultilevel"/>
    <w:tmpl w:val="5E4E2E4C"/>
    <w:lvl w:ilvl="0" w:tplc="08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38C05B95"/>
    <w:multiLevelType w:val="hybridMultilevel"/>
    <w:tmpl w:val="589A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37DF"/>
    <w:multiLevelType w:val="hybridMultilevel"/>
    <w:tmpl w:val="27986D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565895"/>
    <w:multiLevelType w:val="hybridMultilevel"/>
    <w:tmpl w:val="268AD1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C0E93"/>
    <w:multiLevelType w:val="hybridMultilevel"/>
    <w:tmpl w:val="7F881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4187C"/>
    <w:multiLevelType w:val="hybridMultilevel"/>
    <w:tmpl w:val="9E3A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CA1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94BB3"/>
    <w:multiLevelType w:val="hybridMultilevel"/>
    <w:tmpl w:val="8B0237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35E8D"/>
    <w:multiLevelType w:val="hybridMultilevel"/>
    <w:tmpl w:val="0B9E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8AA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1AA"/>
    <w:multiLevelType w:val="hybridMultilevel"/>
    <w:tmpl w:val="498E383C"/>
    <w:lvl w:ilvl="0" w:tplc="B3AEB4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3AB1"/>
    <w:multiLevelType w:val="hybridMultilevel"/>
    <w:tmpl w:val="9870A23C"/>
    <w:lvl w:ilvl="0" w:tplc="080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412942"/>
    <w:multiLevelType w:val="hybridMultilevel"/>
    <w:tmpl w:val="217619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C12E5"/>
    <w:multiLevelType w:val="hybridMultilevel"/>
    <w:tmpl w:val="FB36FF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312E5"/>
    <w:multiLevelType w:val="hybridMultilevel"/>
    <w:tmpl w:val="067E4D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A1147"/>
    <w:multiLevelType w:val="hybridMultilevel"/>
    <w:tmpl w:val="E94813F0"/>
    <w:lvl w:ilvl="0" w:tplc="E924AB7A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2" w15:restartNumberingAfterBreak="0">
    <w:nsid w:val="649E488D"/>
    <w:multiLevelType w:val="hybridMultilevel"/>
    <w:tmpl w:val="3B685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E701D"/>
    <w:multiLevelType w:val="hybridMultilevel"/>
    <w:tmpl w:val="92FC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C6424"/>
    <w:multiLevelType w:val="hybridMultilevel"/>
    <w:tmpl w:val="0A08348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4F38F8"/>
    <w:multiLevelType w:val="hybridMultilevel"/>
    <w:tmpl w:val="6B3427AA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6" w15:restartNumberingAfterBreak="0">
    <w:nsid w:val="6BEF0C91"/>
    <w:multiLevelType w:val="hybridMultilevel"/>
    <w:tmpl w:val="9AFC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6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27"/>
  </w:num>
  <w:num w:numId="9">
    <w:abstractNumId w:val="7"/>
  </w:num>
  <w:num w:numId="10">
    <w:abstractNumId w:val="31"/>
  </w:num>
  <w:num w:numId="11">
    <w:abstractNumId w:val="19"/>
  </w:num>
  <w:num w:numId="12">
    <w:abstractNumId w:val="1"/>
  </w:num>
  <w:num w:numId="13">
    <w:abstractNumId w:val="33"/>
  </w:num>
  <w:num w:numId="14">
    <w:abstractNumId w:val="14"/>
  </w:num>
  <w:num w:numId="15">
    <w:abstractNumId w:val="15"/>
  </w:num>
  <w:num w:numId="16">
    <w:abstractNumId w:val="0"/>
  </w:num>
  <w:num w:numId="17">
    <w:abstractNumId w:val="13"/>
  </w:num>
  <w:num w:numId="18">
    <w:abstractNumId w:val="16"/>
  </w:num>
  <w:num w:numId="19">
    <w:abstractNumId w:val="24"/>
  </w:num>
  <w:num w:numId="20">
    <w:abstractNumId w:val="5"/>
  </w:num>
  <w:num w:numId="21">
    <w:abstractNumId w:val="8"/>
  </w:num>
  <w:num w:numId="22">
    <w:abstractNumId w:val="30"/>
  </w:num>
  <w:num w:numId="23">
    <w:abstractNumId w:val="21"/>
  </w:num>
  <w:num w:numId="24">
    <w:abstractNumId w:val="18"/>
  </w:num>
  <w:num w:numId="25">
    <w:abstractNumId w:val="20"/>
  </w:num>
  <w:num w:numId="26">
    <w:abstractNumId w:val="3"/>
  </w:num>
  <w:num w:numId="27">
    <w:abstractNumId w:val="32"/>
  </w:num>
  <w:num w:numId="28">
    <w:abstractNumId w:val="34"/>
  </w:num>
  <w:num w:numId="29">
    <w:abstractNumId w:val="28"/>
  </w:num>
  <w:num w:numId="30">
    <w:abstractNumId w:val="4"/>
  </w:num>
  <w:num w:numId="31">
    <w:abstractNumId w:val="2"/>
  </w:num>
  <w:num w:numId="32">
    <w:abstractNumId w:val="6"/>
  </w:num>
  <w:num w:numId="33">
    <w:abstractNumId w:val="25"/>
  </w:num>
  <w:num w:numId="34">
    <w:abstractNumId w:val="22"/>
  </w:num>
  <w:num w:numId="35">
    <w:abstractNumId w:val="26"/>
  </w:num>
  <w:num w:numId="36">
    <w:abstractNumId w:val="29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1A0"/>
    <w:rsid w:val="00000A3E"/>
    <w:rsid w:val="000026AD"/>
    <w:rsid w:val="0001072C"/>
    <w:rsid w:val="000277DB"/>
    <w:rsid w:val="00032381"/>
    <w:rsid w:val="00033CA2"/>
    <w:rsid w:val="000423F0"/>
    <w:rsid w:val="000443BC"/>
    <w:rsid w:val="00046636"/>
    <w:rsid w:val="0005246A"/>
    <w:rsid w:val="00073C14"/>
    <w:rsid w:val="000831F2"/>
    <w:rsid w:val="0009369B"/>
    <w:rsid w:val="000A2065"/>
    <w:rsid w:val="000D5996"/>
    <w:rsid w:val="000E5340"/>
    <w:rsid w:val="00102F1D"/>
    <w:rsid w:val="00124D8F"/>
    <w:rsid w:val="00131BE4"/>
    <w:rsid w:val="00147D52"/>
    <w:rsid w:val="001726EE"/>
    <w:rsid w:val="00175E6A"/>
    <w:rsid w:val="00175F70"/>
    <w:rsid w:val="00176237"/>
    <w:rsid w:val="00184988"/>
    <w:rsid w:val="00186F65"/>
    <w:rsid w:val="001A19CE"/>
    <w:rsid w:val="001A5BD3"/>
    <w:rsid w:val="001C5C2D"/>
    <w:rsid w:val="001D0555"/>
    <w:rsid w:val="001E6C1E"/>
    <w:rsid w:val="001F1B95"/>
    <w:rsid w:val="002022A9"/>
    <w:rsid w:val="00212C54"/>
    <w:rsid w:val="00215126"/>
    <w:rsid w:val="00220C98"/>
    <w:rsid w:val="00221106"/>
    <w:rsid w:val="002321DB"/>
    <w:rsid w:val="002533BF"/>
    <w:rsid w:val="002547AA"/>
    <w:rsid w:val="00256111"/>
    <w:rsid w:val="00273AEA"/>
    <w:rsid w:val="002840AE"/>
    <w:rsid w:val="00295F91"/>
    <w:rsid w:val="002B0DC9"/>
    <w:rsid w:val="002B20D5"/>
    <w:rsid w:val="002B4360"/>
    <w:rsid w:val="002D1684"/>
    <w:rsid w:val="002D7A6A"/>
    <w:rsid w:val="002E0FD8"/>
    <w:rsid w:val="003005D7"/>
    <w:rsid w:val="00307B27"/>
    <w:rsid w:val="00311CB2"/>
    <w:rsid w:val="00311EE6"/>
    <w:rsid w:val="00316C38"/>
    <w:rsid w:val="00345D80"/>
    <w:rsid w:val="0036638D"/>
    <w:rsid w:val="003A40B2"/>
    <w:rsid w:val="003A4BB8"/>
    <w:rsid w:val="003D2D7E"/>
    <w:rsid w:val="0040473C"/>
    <w:rsid w:val="004234DF"/>
    <w:rsid w:val="0042562B"/>
    <w:rsid w:val="00442192"/>
    <w:rsid w:val="004439E1"/>
    <w:rsid w:val="00443C1A"/>
    <w:rsid w:val="00454780"/>
    <w:rsid w:val="00455BE1"/>
    <w:rsid w:val="004627F3"/>
    <w:rsid w:val="004743FE"/>
    <w:rsid w:val="00476DC6"/>
    <w:rsid w:val="004859F1"/>
    <w:rsid w:val="00490BB6"/>
    <w:rsid w:val="004941D2"/>
    <w:rsid w:val="004975D8"/>
    <w:rsid w:val="004A227B"/>
    <w:rsid w:val="004B0CE4"/>
    <w:rsid w:val="004B58BB"/>
    <w:rsid w:val="004D216F"/>
    <w:rsid w:val="00511991"/>
    <w:rsid w:val="0051351A"/>
    <w:rsid w:val="00571BDE"/>
    <w:rsid w:val="005B5B2C"/>
    <w:rsid w:val="005B6E11"/>
    <w:rsid w:val="005C083F"/>
    <w:rsid w:val="005E0E1A"/>
    <w:rsid w:val="005F19AE"/>
    <w:rsid w:val="005F6BF4"/>
    <w:rsid w:val="00604F7F"/>
    <w:rsid w:val="00610926"/>
    <w:rsid w:val="00625D39"/>
    <w:rsid w:val="00632C40"/>
    <w:rsid w:val="00644984"/>
    <w:rsid w:val="00654490"/>
    <w:rsid w:val="00674608"/>
    <w:rsid w:val="00693EF3"/>
    <w:rsid w:val="006B2A1A"/>
    <w:rsid w:val="006E3789"/>
    <w:rsid w:val="007017DC"/>
    <w:rsid w:val="00726530"/>
    <w:rsid w:val="00737127"/>
    <w:rsid w:val="00766636"/>
    <w:rsid w:val="007A2FCE"/>
    <w:rsid w:val="007B17B5"/>
    <w:rsid w:val="007C4BA3"/>
    <w:rsid w:val="007D0CF4"/>
    <w:rsid w:val="007D4429"/>
    <w:rsid w:val="007D5939"/>
    <w:rsid w:val="007F24D0"/>
    <w:rsid w:val="008667D9"/>
    <w:rsid w:val="00886200"/>
    <w:rsid w:val="008966D6"/>
    <w:rsid w:val="008A269A"/>
    <w:rsid w:val="008D2705"/>
    <w:rsid w:val="008D642C"/>
    <w:rsid w:val="008D6BD5"/>
    <w:rsid w:val="008E39D7"/>
    <w:rsid w:val="00905294"/>
    <w:rsid w:val="009055B6"/>
    <w:rsid w:val="00917A29"/>
    <w:rsid w:val="00954FE8"/>
    <w:rsid w:val="00955506"/>
    <w:rsid w:val="00964F95"/>
    <w:rsid w:val="00977AA7"/>
    <w:rsid w:val="009812D9"/>
    <w:rsid w:val="009916B2"/>
    <w:rsid w:val="009A1E96"/>
    <w:rsid w:val="009A433B"/>
    <w:rsid w:val="009C74FE"/>
    <w:rsid w:val="009D0BBF"/>
    <w:rsid w:val="009D30F0"/>
    <w:rsid w:val="009D5F95"/>
    <w:rsid w:val="009E0244"/>
    <w:rsid w:val="009E69B3"/>
    <w:rsid w:val="00A07D76"/>
    <w:rsid w:val="00A1060A"/>
    <w:rsid w:val="00A1612D"/>
    <w:rsid w:val="00A23C51"/>
    <w:rsid w:val="00A317A2"/>
    <w:rsid w:val="00A34723"/>
    <w:rsid w:val="00A40073"/>
    <w:rsid w:val="00A571CC"/>
    <w:rsid w:val="00A57234"/>
    <w:rsid w:val="00A76785"/>
    <w:rsid w:val="00A80CBE"/>
    <w:rsid w:val="00AA3130"/>
    <w:rsid w:val="00AB147D"/>
    <w:rsid w:val="00AC5092"/>
    <w:rsid w:val="00AD26DD"/>
    <w:rsid w:val="00AF05DF"/>
    <w:rsid w:val="00AF0A5F"/>
    <w:rsid w:val="00AF61A0"/>
    <w:rsid w:val="00B13E00"/>
    <w:rsid w:val="00B14F82"/>
    <w:rsid w:val="00B213B8"/>
    <w:rsid w:val="00B23F8F"/>
    <w:rsid w:val="00B269CD"/>
    <w:rsid w:val="00B3163B"/>
    <w:rsid w:val="00B36A17"/>
    <w:rsid w:val="00B655E7"/>
    <w:rsid w:val="00B73373"/>
    <w:rsid w:val="00B8524E"/>
    <w:rsid w:val="00B923D9"/>
    <w:rsid w:val="00B92B2D"/>
    <w:rsid w:val="00BA1F8B"/>
    <w:rsid w:val="00BE1375"/>
    <w:rsid w:val="00BE334C"/>
    <w:rsid w:val="00BF4A9C"/>
    <w:rsid w:val="00C01311"/>
    <w:rsid w:val="00C41309"/>
    <w:rsid w:val="00C42588"/>
    <w:rsid w:val="00C51EE6"/>
    <w:rsid w:val="00C52389"/>
    <w:rsid w:val="00C52FEA"/>
    <w:rsid w:val="00C5733A"/>
    <w:rsid w:val="00C70B98"/>
    <w:rsid w:val="00C72AAD"/>
    <w:rsid w:val="00C92780"/>
    <w:rsid w:val="00C96485"/>
    <w:rsid w:val="00CA17A8"/>
    <w:rsid w:val="00CB04C0"/>
    <w:rsid w:val="00CB1CFB"/>
    <w:rsid w:val="00CC272C"/>
    <w:rsid w:val="00CD19B6"/>
    <w:rsid w:val="00D064A5"/>
    <w:rsid w:val="00D10896"/>
    <w:rsid w:val="00D13958"/>
    <w:rsid w:val="00D20378"/>
    <w:rsid w:val="00D272E8"/>
    <w:rsid w:val="00D30672"/>
    <w:rsid w:val="00D421EC"/>
    <w:rsid w:val="00D550A1"/>
    <w:rsid w:val="00D56FBB"/>
    <w:rsid w:val="00D67997"/>
    <w:rsid w:val="00D74B95"/>
    <w:rsid w:val="00D925E3"/>
    <w:rsid w:val="00DB61E6"/>
    <w:rsid w:val="00DD283A"/>
    <w:rsid w:val="00DE4CD3"/>
    <w:rsid w:val="00DF0487"/>
    <w:rsid w:val="00DF48D6"/>
    <w:rsid w:val="00DF70C3"/>
    <w:rsid w:val="00E157F8"/>
    <w:rsid w:val="00E2537F"/>
    <w:rsid w:val="00E323D0"/>
    <w:rsid w:val="00E55AAC"/>
    <w:rsid w:val="00E5728A"/>
    <w:rsid w:val="00E81339"/>
    <w:rsid w:val="00E8200C"/>
    <w:rsid w:val="00E9294D"/>
    <w:rsid w:val="00EA4695"/>
    <w:rsid w:val="00EC3928"/>
    <w:rsid w:val="00EC397E"/>
    <w:rsid w:val="00EC7313"/>
    <w:rsid w:val="00EF08A0"/>
    <w:rsid w:val="00F05B5B"/>
    <w:rsid w:val="00F427A8"/>
    <w:rsid w:val="00F627F1"/>
    <w:rsid w:val="00F6591F"/>
    <w:rsid w:val="00F66683"/>
    <w:rsid w:val="00F816AB"/>
    <w:rsid w:val="00FB5B4D"/>
    <w:rsid w:val="00FB5E10"/>
    <w:rsid w:val="00FB7C1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C7909"/>
  <w15:docId w15:val="{12A96663-892D-4EE8-B057-4BF9182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4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6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7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8A"/>
  </w:style>
  <w:style w:type="paragraph" w:styleId="Footer">
    <w:name w:val="footer"/>
    <w:basedOn w:val="Normal"/>
    <w:link w:val="FooterChar"/>
    <w:uiPriority w:val="99"/>
    <w:unhideWhenUsed/>
    <w:rsid w:val="00E57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8A"/>
  </w:style>
  <w:style w:type="character" w:customStyle="1" w:styleId="Heading1Char">
    <w:name w:val="Heading 1 Char"/>
    <w:basedOn w:val="DefaultParagraphFont"/>
    <w:link w:val="Heading1"/>
    <w:uiPriority w:val="9"/>
    <w:rsid w:val="00A80C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244"/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0244"/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0CB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1A5BD3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B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2B2D"/>
    <w:pPr>
      <w:tabs>
        <w:tab w:val="right" w:leader="dot" w:pos="9060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1A5BD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A5BD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B4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5B4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B5B4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5B4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FB5B4D"/>
    <w:rPr>
      <w:i/>
      <w:iCs/>
    </w:rPr>
  </w:style>
  <w:style w:type="character" w:styleId="Strong">
    <w:name w:val="Strong"/>
    <w:basedOn w:val="DefaultParagraphFont"/>
    <w:uiPriority w:val="22"/>
    <w:qFormat/>
    <w:rsid w:val="0095550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F627F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C0FF311-BF4E-4BFF-B345-37ABDFDB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Boryana </cp:lastModifiedBy>
  <cp:revision>3</cp:revision>
  <cp:lastPrinted>2019-12-12T18:59:00Z</cp:lastPrinted>
  <dcterms:created xsi:type="dcterms:W3CDTF">2019-12-10T12:59:00Z</dcterms:created>
  <dcterms:modified xsi:type="dcterms:W3CDTF">2019-12-12T19:00:00Z</dcterms:modified>
</cp:coreProperties>
</file>